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3240"/>
        <w:gridCol w:w="7560"/>
      </w:tblGrid>
      <w:tr w:rsidR="00604FA7" w:rsidRPr="00505C3E" w14:paraId="1764DBF4" w14:textId="77777777" w:rsidTr="00983862">
        <w:trPr>
          <w:jc w:val="center"/>
        </w:trPr>
        <w:tc>
          <w:tcPr>
            <w:tcW w:w="10800" w:type="dxa"/>
            <w:gridSpan w:val="2"/>
            <w:tcBorders>
              <w:top w:val="nil"/>
              <w:left w:val="nil"/>
              <w:bottom w:val="single" w:sz="12" w:space="0" w:color="000000" w:themeColor="text1"/>
              <w:right w:val="nil"/>
            </w:tcBorders>
            <w:tcMar>
              <w:top w:w="0" w:type="dxa"/>
              <w:left w:w="0" w:type="dxa"/>
              <w:right w:w="0" w:type="dxa"/>
            </w:tcMar>
            <w:vAlign w:val="center"/>
          </w:tcPr>
          <w:p w14:paraId="074EAF96" w14:textId="77777777" w:rsidR="00FE5FDD" w:rsidRDefault="00604FA7" w:rsidP="00983862">
            <w:pPr>
              <w:tabs>
                <w:tab w:val="right" w:pos="10818"/>
              </w:tabs>
              <w:spacing w:after="60"/>
              <w:rPr>
                <w:rFonts w:ascii="Arial" w:eastAsiaTheme="majorEastAsia" w:hAnsi="Arial" w:cs="Arial"/>
                <w:i/>
                <w:iCs/>
                <w:color w:val="000000" w:themeColor="text1"/>
                <w:sz w:val="18"/>
              </w:rPr>
            </w:pPr>
            <w:bookmarkStart w:id="0" w:name="_GoBack"/>
            <w:bookmarkEnd w:id="0"/>
            <w:r w:rsidRPr="00505C3E">
              <w:rPr>
                <w:rFonts w:ascii="Arial" w:hAnsi="Arial" w:cs="Arial"/>
                <w:b/>
                <w:color w:val="000000" w:themeColor="text1"/>
                <w:sz w:val="22"/>
              </w:rPr>
              <w:t>AutoEEG: EEG Analytics From Big Data</w:t>
            </w:r>
            <w:r w:rsidRPr="00505C3E">
              <w:rPr>
                <w:rFonts w:ascii="Arial" w:hAnsi="Arial" w:cs="Arial"/>
                <w:b/>
                <w:color w:val="000000" w:themeColor="text1"/>
                <w:sz w:val="18"/>
              </w:rPr>
              <w:tab/>
            </w:r>
            <w:r w:rsidRPr="00505C3E">
              <w:rPr>
                <w:rFonts w:ascii="Arial" w:hAnsi="Arial" w:cs="Arial"/>
                <w:color w:val="000000" w:themeColor="text1"/>
                <w:sz w:val="18"/>
              </w:rPr>
              <w:t>Contact:</w:t>
            </w:r>
            <w:r w:rsidR="007D4272" w:rsidRPr="00505C3E">
              <w:rPr>
                <w:rFonts w:ascii="Arial" w:hAnsi="Arial" w:cs="Arial"/>
                <w:color w:val="000000" w:themeColor="text1"/>
                <w:sz w:val="18"/>
              </w:rPr>
              <w:t xml:space="preserve"> </w:t>
            </w:r>
            <w:r w:rsidRPr="00505C3E">
              <w:rPr>
                <w:rFonts w:ascii="Arial" w:hAnsi="Arial" w:cs="Arial"/>
                <w:color w:val="000000" w:themeColor="text1"/>
                <w:sz w:val="18"/>
              </w:rPr>
              <w:t>Iyad Obeid</w:t>
            </w:r>
          </w:p>
          <w:p w14:paraId="70B2D366" w14:textId="77777777" w:rsidR="00FE5FDD" w:rsidRDefault="00604FA7" w:rsidP="00801609">
            <w:pPr>
              <w:tabs>
                <w:tab w:val="right" w:pos="10818"/>
              </w:tabs>
              <w:rPr>
                <w:rFonts w:ascii="Arial" w:hAnsi="Arial" w:cs="Arial"/>
                <w:color w:val="000000" w:themeColor="text1"/>
                <w:sz w:val="18"/>
              </w:rPr>
            </w:pPr>
            <w:r w:rsidRPr="00505C3E">
              <w:rPr>
                <w:rFonts w:ascii="Arial" w:hAnsi="Arial" w:cs="Arial"/>
                <w:color w:val="000000" w:themeColor="text1"/>
                <w:sz w:val="18"/>
              </w:rPr>
              <w:t xml:space="preserve">1947 North 12th Street, Philadelphia, </w:t>
            </w:r>
            <w:r w:rsidRPr="00505C3E">
              <w:rPr>
                <w:rFonts w:ascii="Arial" w:hAnsi="Arial" w:cs="Arial"/>
                <w:color w:val="000000" w:themeColor="text1"/>
                <w:sz w:val="18"/>
                <w:szCs w:val="18"/>
              </w:rPr>
              <w:t>P</w:t>
            </w:r>
            <w:r w:rsidR="00BB6D28" w:rsidRPr="00505C3E">
              <w:rPr>
                <w:rFonts w:ascii="Arial" w:hAnsi="Arial" w:cs="Arial"/>
                <w:color w:val="000000" w:themeColor="text1"/>
                <w:sz w:val="18"/>
                <w:szCs w:val="18"/>
              </w:rPr>
              <w:t>ennsylvania</w:t>
            </w:r>
            <w:r w:rsidRPr="00505C3E">
              <w:rPr>
                <w:rFonts w:ascii="Arial" w:hAnsi="Arial" w:cs="Arial"/>
                <w:color w:val="000000" w:themeColor="text1"/>
                <w:sz w:val="18"/>
              </w:rPr>
              <w:t xml:space="preserve"> 191222 </w:t>
            </w:r>
            <w:r w:rsidRPr="00505C3E">
              <w:rPr>
                <w:rFonts w:ascii="Arial" w:hAnsi="Arial" w:cs="Arial"/>
                <w:color w:val="000000" w:themeColor="text1"/>
                <w:sz w:val="18"/>
              </w:rPr>
              <w:tab/>
              <w:t xml:space="preserve">Email: iobeid@gmail.com; </w:t>
            </w:r>
            <w:r w:rsidR="00BB6D28" w:rsidRPr="00505C3E">
              <w:rPr>
                <w:rFonts w:ascii="Arial" w:hAnsi="Arial" w:cs="Arial"/>
                <w:color w:val="000000" w:themeColor="text1"/>
                <w:sz w:val="18"/>
                <w:szCs w:val="18"/>
              </w:rPr>
              <w:t>Tel</w:t>
            </w:r>
            <w:r w:rsidR="00801609">
              <w:rPr>
                <w:rFonts w:ascii="Arial" w:hAnsi="Arial" w:cs="Arial"/>
                <w:color w:val="000000" w:themeColor="text1"/>
                <w:sz w:val="18"/>
                <w:szCs w:val="18"/>
              </w:rPr>
              <w:t>:</w:t>
            </w:r>
            <w:r w:rsidR="00922516" w:rsidRPr="00505C3E">
              <w:rPr>
                <w:rFonts w:ascii="Arial" w:hAnsi="Arial" w:cs="Arial"/>
                <w:color w:val="000000" w:themeColor="text1"/>
                <w:sz w:val="18"/>
              </w:rPr>
              <w:t xml:space="preserve"> </w:t>
            </w:r>
            <w:r w:rsidRPr="00505C3E">
              <w:rPr>
                <w:rFonts w:ascii="Arial" w:hAnsi="Arial" w:cs="Arial"/>
                <w:color w:val="000000" w:themeColor="text1"/>
                <w:sz w:val="18"/>
              </w:rPr>
              <w:t>(215) 360-9392</w:t>
            </w:r>
          </w:p>
        </w:tc>
      </w:tr>
      <w:tr w:rsidR="00425781" w:rsidRPr="00505C3E" w14:paraId="7C7BE5A9" w14:textId="77777777" w:rsidTr="00983862">
        <w:trPr>
          <w:trHeight w:val="12402"/>
          <w:jc w:val="center"/>
        </w:trPr>
        <w:tc>
          <w:tcPr>
            <w:tcW w:w="3240"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14:paraId="1356E8B3" w14:textId="77777777" w:rsidR="00FE5FDD" w:rsidRDefault="007B251E" w:rsidP="00983862">
            <w:pPr>
              <w:pBdr>
                <w:right w:val="single" w:sz="12" w:space="4" w:color="000000" w:themeColor="text1"/>
              </w:pBdr>
              <w:spacing w:after="60"/>
              <w:rPr>
                <w:rFonts w:ascii="Arial" w:hAnsi="Arial" w:cs="Arial"/>
                <w:b/>
                <w:color w:val="000000" w:themeColor="text1"/>
                <w:sz w:val="18"/>
              </w:rPr>
            </w:pPr>
            <w:r w:rsidRPr="00505C3E">
              <w:rPr>
                <w:rFonts w:ascii="Arial" w:hAnsi="Arial" w:cs="Arial"/>
                <w:b/>
                <w:color w:val="000000" w:themeColor="text1"/>
                <w:sz w:val="18"/>
              </w:rPr>
              <w:t>Core</w:t>
            </w:r>
            <w:r w:rsidR="003B3159" w:rsidRPr="00505C3E">
              <w:rPr>
                <w:rFonts w:ascii="Arial" w:hAnsi="Arial" w:cs="Arial"/>
                <w:b/>
                <w:color w:val="000000" w:themeColor="text1"/>
                <w:sz w:val="18"/>
              </w:rPr>
              <w:t xml:space="preserve"> Team</w:t>
            </w:r>
            <w:r w:rsidR="00604FA7" w:rsidRPr="00505C3E">
              <w:rPr>
                <w:rFonts w:ascii="Arial" w:hAnsi="Arial" w:cs="Arial"/>
                <w:b/>
                <w:color w:val="000000" w:themeColor="text1"/>
                <w:sz w:val="18"/>
              </w:rPr>
              <w:t>:</w:t>
            </w:r>
          </w:p>
          <w:p w14:paraId="0829D254" w14:textId="77777777" w:rsidR="00983862" w:rsidRPr="00922516" w:rsidRDefault="00983862" w:rsidP="00983862">
            <w:pPr>
              <w:pBdr>
                <w:right w:val="single" w:sz="12" w:space="4" w:color="000000" w:themeColor="text1"/>
              </w:pBdr>
              <w:tabs>
                <w:tab w:val="right" w:pos="18"/>
              </w:tabs>
              <w:spacing w:after="60"/>
              <w:ind w:left="302" w:hanging="187"/>
              <w:rPr>
                <w:rFonts w:ascii="Arial" w:hAnsi="Arial" w:cs="Arial"/>
                <w:i/>
                <w:color w:val="000000" w:themeColor="text1"/>
                <w:sz w:val="18"/>
                <w:szCs w:val="18"/>
              </w:rPr>
            </w:pPr>
            <w:r w:rsidRPr="00922516">
              <w:rPr>
                <w:rFonts w:ascii="Arial" w:hAnsi="Arial" w:cs="Arial"/>
                <w:b/>
                <w:i/>
                <w:color w:val="000000" w:themeColor="text1"/>
                <w:sz w:val="18"/>
                <w:szCs w:val="18"/>
              </w:rPr>
              <w:t>Iyad Obeid, PhD</w:t>
            </w:r>
            <w:r w:rsidRPr="00922516">
              <w:rPr>
                <w:rFonts w:ascii="Arial" w:hAnsi="Arial" w:cs="Arial"/>
                <w:i/>
                <w:color w:val="000000" w:themeColor="text1"/>
                <w:sz w:val="18"/>
                <w:szCs w:val="18"/>
              </w:rPr>
              <w:t>, Co-Founder, Technical Leader</w:t>
            </w:r>
          </w:p>
          <w:p w14:paraId="477695F0" w14:textId="77777777" w:rsidR="00983862"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 xml:space="preserve">Professor of Electrical and Bioengineering, Temple </w:t>
            </w:r>
            <w:r>
              <w:rPr>
                <w:rFonts w:ascii="Arial" w:hAnsi="Arial" w:cs="Arial"/>
                <w:color w:val="000000" w:themeColor="text1"/>
                <w:sz w:val="18"/>
                <w:szCs w:val="18"/>
              </w:rPr>
              <w:t>Univ.</w:t>
            </w:r>
          </w:p>
          <w:p w14:paraId="2B630596" w14:textId="77777777" w:rsidR="00983862"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Over 15 years of experience in bioengineering and neuroscience</w:t>
            </w:r>
          </w:p>
          <w:p w14:paraId="10DA0677" w14:textId="77777777" w:rsidR="00983862"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PhD, Biomedical Engineering, Duke University</w:t>
            </w:r>
          </w:p>
          <w:p w14:paraId="1736B4D6" w14:textId="77777777" w:rsidR="00983862"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C11AB">
              <w:rPr>
                <w:rFonts w:ascii="Arial" w:hAnsi="Arial" w:cs="Arial"/>
                <w:color w:val="000000" w:themeColor="text1"/>
                <w:sz w:val="18"/>
                <w:szCs w:val="18"/>
              </w:rPr>
              <w:t xml:space="preserve">MEng, </w:t>
            </w:r>
            <w:r>
              <w:rPr>
                <w:rFonts w:ascii="Arial" w:hAnsi="Arial" w:cs="Arial"/>
                <w:color w:val="000000" w:themeColor="text1"/>
                <w:sz w:val="18"/>
                <w:szCs w:val="18"/>
              </w:rPr>
              <w:t xml:space="preserve">BS, </w:t>
            </w:r>
            <w:r w:rsidRPr="009C11AB">
              <w:rPr>
                <w:rFonts w:ascii="Arial" w:hAnsi="Arial" w:cs="Arial"/>
                <w:color w:val="000000" w:themeColor="text1"/>
                <w:sz w:val="18"/>
                <w:szCs w:val="18"/>
              </w:rPr>
              <w:t>Electrical and Computer Engineering, MIT</w:t>
            </w:r>
          </w:p>
          <w:p w14:paraId="28C432A9" w14:textId="77777777" w:rsidR="00983862" w:rsidRPr="008D3A8D" w:rsidRDefault="00983862" w:rsidP="00983862">
            <w:pPr>
              <w:pBdr>
                <w:right w:val="single" w:sz="12" w:space="4" w:color="000000" w:themeColor="text1"/>
              </w:pBdr>
              <w:spacing w:before="60" w:after="60"/>
              <w:ind w:left="302" w:hanging="187"/>
              <w:rPr>
                <w:rFonts w:ascii="Arial" w:hAnsi="Arial" w:cs="Arial"/>
                <w:b/>
                <w:i/>
                <w:color w:val="000000" w:themeColor="text1"/>
                <w:sz w:val="18"/>
                <w:szCs w:val="18"/>
              </w:rPr>
            </w:pPr>
            <w:r w:rsidRPr="00922516">
              <w:rPr>
                <w:rFonts w:ascii="Arial" w:hAnsi="Arial" w:cs="Arial"/>
                <w:b/>
                <w:i/>
                <w:color w:val="000000" w:themeColor="text1"/>
                <w:sz w:val="18"/>
                <w:szCs w:val="18"/>
              </w:rPr>
              <w:t xml:space="preserve">Joseph Picone, </w:t>
            </w:r>
            <w:r w:rsidRPr="008D3A8D">
              <w:rPr>
                <w:rFonts w:ascii="Arial" w:hAnsi="Arial" w:cs="Arial"/>
                <w:b/>
                <w:i/>
                <w:color w:val="000000" w:themeColor="text1"/>
                <w:sz w:val="18"/>
                <w:szCs w:val="18"/>
              </w:rPr>
              <w:t>PhD</w:t>
            </w:r>
            <w:r w:rsidRPr="008D3A8D">
              <w:rPr>
                <w:rFonts w:ascii="Arial" w:hAnsi="Arial" w:cs="Arial"/>
                <w:i/>
                <w:color w:val="000000" w:themeColor="text1"/>
                <w:sz w:val="18"/>
                <w:szCs w:val="18"/>
              </w:rPr>
              <w:t>, Co-Founder, Technical Leader</w:t>
            </w:r>
          </w:p>
          <w:p w14:paraId="09D84AB9"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Professor of Electrical and Comp</w:t>
            </w:r>
            <w:r>
              <w:rPr>
                <w:rFonts w:ascii="Arial" w:hAnsi="Arial" w:cs="Arial"/>
                <w:color w:val="000000" w:themeColor="text1"/>
                <w:sz w:val="18"/>
                <w:szCs w:val="18"/>
              </w:rPr>
              <w:t xml:space="preserve">. </w:t>
            </w:r>
            <w:r w:rsidRPr="00922516">
              <w:rPr>
                <w:rFonts w:ascii="Arial" w:hAnsi="Arial" w:cs="Arial"/>
                <w:color w:val="000000" w:themeColor="text1"/>
                <w:sz w:val="18"/>
                <w:szCs w:val="18"/>
              </w:rPr>
              <w:t>Engineering, Temple University</w:t>
            </w:r>
          </w:p>
          <w:p w14:paraId="49B76011"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Over 30 years experience in machine learning and big data</w:t>
            </w:r>
          </w:p>
          <w:p w14:paraId="1AED433F"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PhD,</w:t>
            </w:r>
            <w:r>
              <w:rPr>
                <w:rFonts w:ascii="Arial" w:hAnsi="Arial" w:cs="Arial"/>
                <w:color w:val="000000" w:themeColor="text1"/>
                <w:sz w:val="18"/>
                <w:szCs w:val="18"/>
              </w:rPr>
              <w:t xml:space="preserve"> MS, BS, Elect. Eng., IIT</w:t>
            </w:r>
          </w:p>
          <w:p w14:paraId="1B397DEA" w14:textId="77777777" w:rsidR="00983862" w:rsidRPr="00922516" w:rsidRDefault="00983862" w:rsidP="00983862">
            <w:pPr>
              <w:pBdr>
                <w:right w:val="single" w:sz="12" w:space="4" w:color="000000" w:themeColor="text1"/>
              </w:pBdr>
              <w:spacing w:before="60" w:after="60"/>
              <w:ind w:left="288" w:hanging="180"/>
              <w:rPr>
                <w:rFonts w:ascii="Arial" w:hAnsi="Arial" w:cs="Arial"/>
                <w:b/>
                <w:i/>
                <w:color w:val="000000" w:themeColor="text1"/>
                <w:sz w:val="18"/>
                <w:szCs w:val="18"/>
              </w:rPr>
            </w:pPr>
            <w:r w:rsidRPr="00922516">
              <w:rPr>
                <w:rFonts w:ascii="Arial" w:hAnsi="Arial" w:cs="Arial"/>
                <w:b/>
                <w:i/>
                <w:color w:val="000000" w:themeColor="text1"/>
                <w:sz w:val="18"/>
                <w:szCs w:val="18"/>
              </w:rPr>
              <w:t xml:space="preserve">Mercedes Jacobson, </w:t>
            </w:r>
            <w:r w:rsidRPr="00922516">
              <w:rPr>
                <w:rFonts w:ascii="Arial" w:hAnsi="Arial" w:cs="Arial"/>
                <w:i/>
                <w:color w:val="000000" w:themeColor="text1"/>
                <w:sz w:val="18"/>
                <w:szCs w:val="18"/>
              </w:rPr>
              <w:t>MD, Clinical Neurologist and Consultant</w:t>
            </w:r>
          </w:p>
          <w:p w14:paraId="07A02C10"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 xml:space="preserve">Professor, Neurology, Temple University School of Medicine; </w:t>
            </w:r>
          </w:p>
          <w:p w14:paraId="26C7222E"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Over 30 years experience in neuroscience</w:t>
            </w:r>
          </w:p>
          <w:p w14:paraId="4076F350"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Board certified EEG specialist</w:t>
            </w:r>
            <w:r>
              <w:rPr>
                <w:rFonts w:ascii="Arial" w:hAnsi="Arial" w:cs="Arial"/>
                <w:color w:val="000000" w:themeColor="text1"/>
                <w:sz w:val="18"/>
                <w:szCs w:val="18"/>
              </w:rPr>
              <w:t xml:space="preserve">; </w:t>
            </w:r>
            <w:r w:rsidRPr="00922516">
              <w:rPr>
                <w:rFonts w:ascii="Arial" w:hAnsi="Arial" w:cs="Arial"/>
                <w:color w:val="000000" w:themeColor="text1"/>
                <w:sz w:val="18"/>
                <w:szCs w:val="18"/>
              </w:rPr>
              <w:t xml:space="preserve">Director </w:t>
            </w:r>
            <w:r>
              <w:rPr>
                <w:rFonts w:ascii="Arial" w:hAnsi="Arial" w:cs="Arial"/>
                <w:color w:val="000000" w:themeColor="text1"/>
                <w:sz w:val="18"/>
                <w:szCs w:val="18"/>
              </w:rPr>
              <w:t xml:space="preserve">of the TUH </w:t>
            </w:r>
            <w:r w:rsidRPr="00922516">
              <w:rPr>
                <w:rFonts w:ascii="Arial" w:hAnsi="Arial" w:cs="Arial"/>
                <w:color w:val="000000" w:themeColor="text1"/>
                <w:sz w:val="18"/>
                <w:szCs w:val="18"/>
              </w:rPr>
              <w:t>EEG Lab.</w:t>
            </w:r>
          </w:p>
          <w:p w14:paraId="2E610B2C" w14:textId="77777777" w:rsid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MD, Columbia University College of Physicians and Surgeons</w:t>
            </w:r>
          </w:p>
          <w:p w14:paraId="5BF658EB" w14:textId="77777777" w:rsidR="00FE5FDD"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83862">
              <w:rPr>
                <w:rFonts w:ascii="Arial" w:hAnsi="Arial" w:cs="Arial"/>
                <w:color w:val="000000" w:themeColor="text1"/>
                <w:sz w:val="18"/>
                <w:szCs w:val="18"/>
              </w:rPr>
              <w:t>Fellowship, University of Pennsylvania School of Medicine</w:t>
            </w:r>
          </w:p>
          <w:p w14:paraId="14BE2995" w14:textId="77777777" w:rsidR="00FE5FDD" w:rsidRDefault="00425781" w:rsidP="00983862">
            <w:pPr>
              <w:pBdr>
                <w:right w:val="single" w:sz="12" w:space="4" w:color="000000" w:themeColor="text1"/>
              </w:pBdr>
              <w:spacing w:before="120" w:after="60"/>
              <w:rPr>
                <w:rFonts w:ascii="Arial" w:eastAsiaTheme="majorEastAsia" w:hAnsi="Arial" w:cs="Arial"/>
                <w:b/>
                <w:i/>
                <w:iCs/>
                <w:color w:val="000000" w:themeColor="text1"/>
                <w:sz w:val="18"/>
              </w:rPr>
            </w:pPr>
            <w:r w:rsidRPr="00505C3E">
              <w:rPr>
                <w:rFonts w:ascii="Arial" w:hAnsi="Arial" w:cs="Arial"/>
                <w:b/>
                <w:color w:val="000000" w:themeColor="text1"/>
                <w:sz w:val="18"/>
              </w:rPr>
              <w:t>Project History:</w:t>
            </w:r>
          </w:p>
          <w:p w14:paraId="5E4DF66B"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Research initiated in 2011 under DARPA and NSF funding to harden clinical solutions through the use of big data.</w:t>
            </w:r>
          </w:p>
          <w:p w14:paraId="6FF35709"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To be incorporated in 2015.</w:t>
            </w:r>
          </w:p>
          <w:p w14:paraId="655EF13F"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Initial financing of $110K from University City Science Center, both cash and in-kind.</w:t>
            </w:r>
          </w:p>
          <w:p w14:paraId="0659FD32"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sidRPr="00922516">
              <w:rPr>
                <w:rFonts w:ascii="Arial" w:hAnsi="Arial" w:cs="Arial"/>
                <w:color w:val="000000" w:themeColor="text1"/>
                <w:sz w:val="18"/>
                <w:szCs w:val="18"/>
              </w:rPr>
              <w:t xml:space="preserve">Inventors seeking further development funding or a sale or license of their invention. </w:t>
            </w:r>
          </w:p>
          <w:p w14:paraId="45530B94" w14:textId="77777777" w:rsidR="00FE5FDD" w:rsidRPr="00983862" w:rsidRDefault="005D65C5" w:rsidP="00983862">
            <w:pPr>
              <w:pBdr>
                <w:right w:val="single" w:sz="12" w:space="4" w:color="000000" w:themeColor="text1"/>
              </w:pBdr>
              <w:spacing w:before="120" w:after="60"/>
              <w:ind w:left="115" w:hanging="115"/>
              <w:rPr>
                <w:rFonts w:ascii="Arial" w:hAnsi="Arial" w:cs="Arial"/>
                <w:b/>
                <w:bCs/>
                <w:color w:val="000000" w:themeColor="text1"/>
                <w:sz w:val="18"/>
                <w:szCs w:val="18"/>
              </w:rPr>
            </w:pPr>
            <w:r w:rsidRPr="00983862">
              <w:rPr>
                <w:rFonts w:ascii="Arial" w:hAnsi="Arial" w:cs="Arial"/>
                <w:b/>
                <w:bCs/>
                <w:color w:val="000000" w:themeColor="text1"/>
                <w:sz w:val="18"/>
                <w:szCs w:val="18"/>
              </w:rPr>
              <w:t>Pro Forma</w:t>
            </w:r>
            <w:r w:rsidR="00425781" w:rsidRPr="00983862">
              <w:rPr>
                <w:rFonts w:ascii="Arial" w:hAnsi="Arial" w:cs="Arial"/>
                <w:b/>
                <w:bCs/>
                <w:color w:val="000000" w:themeColor="text1"/>
                <w:sz w:val="18"/>
                <w:szCs w:val="18"/>
              </w:rPr>
              <w:t xml:space="preserve"> </w:t>
            </w:r>
            <w:r w:rsidR="00E52C68" w:rsidRPr="00983862">
              <w:rPr>
                <w:rFonts w:ascii="Arial" w:hAnsi="Arial" w:cs="Arial"/>
                <w:b/>
                <w:bCs/>
                <w:color w:val="000000" w:themeColor="text1"/>
                <w:sz w:val="18"/>
                <w:szCs w:val="18"/>
              </w:rPr>
              <w:t>Financial</w:t>
            </w:r>
            <w:r w:rsidR="00425781" w:rsidRPr="00983862">
              <w:rPr>
                <w:rFonts w:ascii="Arial" w:hAnsi="Arial" w:cs="Arial"/>
                <w:b/>
                <w:bCs/>
                <w:color w:val="000000" w:themeColor="text1"/>
                <w:sz w:val="18"/>
                <w:szCs w:val="18"/>
              </w:rPr>
              <w:br/>
              <w:t>Requirements ($M USD)</w:t>
            </w:r>
            <w:r w:rsidR="00604FA7" w:rsidRPr="00983862">
              <w:rPr>
                <w:rFonts w:ascii="Arial" w:hAnsi="Arial" w:cs="Arial"/>
                <w:b/>
                <w:bCs/>
                <w:color w:val="000000" w:themeColor="text1"/>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9" w:type="dxa"/>
              </w:tblCellMar>
              <w:tblLook w:val="04A0" w:firstRow="1" w:lastRow="0" w:firstColumn="1" w:lastColumn="0" w:noHBand="0" w:noVBand="1"/>
            </w:tblPr>
            <w:tblGrid>
              <w:gridCol w:w="684"/>
              <w:gridCol w:w="684"/>
              <w:gridCol w:w="630"/>
              <w:gridCol w:w="630"/>
            </w:tblGrid>
            <w:tr w:rsidR="00604FA7" w:rsidRPr="00505C3E" w14:paraId="7A0986A3" w14:textId="77777777" w:rsidTr="00FA4096">
              <w:trPr>
                <w:jc w:val="center"/>
              </w:trPr>
              <w:tc>
                <w:tcPr>
                  <w:tcW w:w="684" w:type="dxa"/>
                </w:tcPr>
                <w:p w14:paraId="1DF0113F" w14:textId="77777777" w:rsidR="00FE5FDD" w:rsidRDefault="00FE5FDD" w:rsidP="00983862">
                  <w:pPr>
                    <w:pBdr>
                      <w:right w:val="single" w:sz="12" w:space="4" w:color="000000" w:themeColor="text1"/>
                    </w:pBdr>
                    <w:spacing w:after="60"/>
                    <w:rPr>
                      <w:rFonts w:ascii="Arial" w:hAnsi="Arial" w:cs="Arial"/>
                      <w:color w:val="000000" w:themeColor="text1"/>
                      <w:sz w:val="18"/>
                    </w:rPr>
                  </w:pPr>
                </w:p>
              </w:tc>
              <w:tc>
                <w:tcPr>
                  <w:tcW w:w="684" w:type="dxa"/>
                  <w:vAlign w:val="bottom"/>
                </w:tcPr>
                <w:p w14:paraId="1DD2679E" w14:textId="77777777" w:rsidR="00FE5FDD" w:rsidRDefault="00604FA7">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u w:val="single"/>
                    </w:rPr>
                    <w:t>2015</w:t>
                  </w:r>
                </w:p>
              </w:tc>
              <w:tc>
                <w:tcPr>
                  <w:tcW w:w="630" w:type="dxa"/>
                  <w:vAlign w:val="bottom"/>
                </w:tcPr>
                <w:p w14:paraId="2BDDE80C" w14:textId="77777777" w:rsidR="00FE5FDD" w:rsidRDefault="00604FA7">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u w:val="single"/>
                    </w:rPr>
                    <w:t>2016</w:t>
                  </w:r>
                </w:p>
              </w:tc>
              <w:tc>
                <w:tcPr>
                  <w:tcW w:w="630" w:type="dxa"/>
                  <w:vAlign w:val="bottom"/>
                </w:tcPr>
                <w:p w14:paraId="7B1BF16B" w14:textId="77777777" w:rsidR="00FE5FDD" w:rsidRDefault="00604FA7">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u w:val="single"/>
                    </w:rPr>
                    <w:t>2017</w:t>
                  </w:r>
                </w:p>
              </w:tc>
            </w:tr>
            <w:tr w:rsidR="00604FA7" w:rsidRPr="00505C3E" w14:paraId="7DFF2970" w14:textId="77777777" w:rsidTr="00FA4096">
              <w:trPr>
                <w:jc w:val="center"/>
              </w:trPr>
              <w:tc>
                <w:tcPr>
                  <w:tcW w:w="684" w:type="dxa"/>
                  <w:vAlign w:val="center"/>
                </w:tcPr>
                <w:p w14:paraId="5A7F034A" w14:textId="77777777" w:rsidR="00FE5FDD" w:rsidRDefault="00604FA7" w:rsidP="00983862">
                  <w:pPr>
                    <w:pBdr>
                      <w:right w:val="single" w:sz="12" w:space="4" w:color="000000" w:themeColor="text1"/>
                    </w:pBdr>
                    <w:rPr>
                      <w:rFonts w:ascii="Arial" w:eastAsiaTheme="majorEastAsia" w:hAnsi="Arial" w:cs="Arial"/>
                      <w:i/>
                      <w:iCs/>
                      <w:color w:val="000000" w:themeColor="text1"/>
                      <w:sz w:val="18"/>
                    </w:rPr>
                  </w:pPr>
                  <w:r w:rsidRPr="00505C3E">
                    <w:rPr>
                      <w:rFonts w:ascii="Arial" w:hAnsi="Arial" w:cs="Arial"/>
                      <w:i/>
                      <w:color w:val="000000" w:themeColor="text1"/>
                      <w:sz w:val="18"/>
                    </w:rPr>
                    <w:t>Direct</w:t>
                  </w:r>
                </w:p>
              </w:tc>
              <w:tc>
                <w:tcPr>
                  <w:tcW w:w="684" w:type="dxa"/>
                  <w:vAlign w:val="center"/>
                </w:tcPr>
                <w:p w14:paraId="55AE1343" w14:textId="77777777"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rPr>
                    <w:t>$0.</w:t>
                  </w:r>
                  <w:r w:rsidRPr="00505C3E">
                    <w:rPr>
                      <w:rFonts w:ascii="Arial" w:hAnsi="Arial" w:cs="Arial"/>
                      <w:color w:val="000000" w:themeColor="text1"/>
                      <w:sz w:val="18"/>
                      <w:szCs w:val="18"/>
                    </w:rPr>
                    <w:t>6</w:t>
                  </w:r>
                </w:p>
              </w:tc>
              <w:tc>
                <w:tcPr>
                  <w:tcW w:w="630" w:type="dxa"/>
                  <w:vAlign w:val="center"/>
                </w:tcPr>
                <w:p w14:paraId="1225C1F7" w14:textId="77777777"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rPr>
                    <w:t>$</w:t>
                  </w:r>
                  <w:r w:rsidRPr="00505C3E">
                    <w:rPr>
                      <w:rFonts w:ascii="Arial" w:hAnsi="Arial" w:cs="Arial"/>
                      <w:color w:val="000000" w:themeColor="text1"/>
                      <w:sz w:val="18"/>
                      <w:szCs w:val="18"/>
                    </w:rPr>
                    <w:t>0.9</w:t>
                  </w:r>
                </w:p>
              </w:tc>
              <w:tc>
                <w:tcPr>
                  <w:tcW w:w="630" w:type="dxa"/>
                  <w:vAlign w:val="center"/>
                </w:tcPr>
                <w:p w14:paraId="4D8EE54A" w14:textId="77777777"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rPr>
                    <w:t>$</w:t>
                  </w:r>
                  <w:r w:rsidRPr="00505C3E">
                    <w:rPr>
                      <w:rFonts w:ascii="Arial" w:hAnsi="Arial" w:cs="Arial"/>
                      <w:color w:val="000000" w:themeColor="text1"/>
                      <w:sz w:val="18"/>
                      <w:szCs w:val="18"/>
                    </w:rPr>
                    <w:t>1.3</w:t>
                  </w:r>
                </w:p>
              </w:tc>
            </w:tr>
            <w:tr w:rsidR="00604FA7" w:rsidRPr="00505C3E" w14:paraId="688144D7" w14:textId="77777777" w:rsidTr="00FA4096">
              <w:trPr>
                <w:jc w:val="center"/>
              </w:trPr>
              <w:tc>
                <w:tcPr>
                  <w:tcW w:w="684" w:type="dxa"/>
                  <w:vAlign w:val="center"/>
                </w:tcPr>
                <w:p w14:paraId="40E59A8F" w14:textId="77777777" w:rsidR="00FE5FDD" w:rsidRDefault="00604FA7" w:rsidP="00983862">
                  <w:pPr>
                    <w:pBdr>
                      <w:right w:val="single" w:sz="12" w:space="4" w:color="000000" w:themeColor="text1"/>
                    </w:pBdr>
                    <w:rPr>
                      <w:rFonts w:ascii="Arial" w:eastAsiaTheme="majorEastAsia" w:hAnsi="Arial" w:cs="Arial"/>
                      <w:i/>
                      <w:iCs/>
                      <w:color w:val="000000" w:themeColor="text1"/>
                      <w:sz w:val="18"/>
                    </w:rPr>
                  </w:pPr>
                  <w:r w:rsidRPr="00505C3E">
                    <w:rPr>
                      <w:rFonts w:ascii="Arial" w:hAnsi="Arial" w:cs="Arial"/>
                      <w:i/>
                      <w:color w:val="000000" w:themeColor="text1"/>
                      <w:sz w:val="18"/>
                    </w:rPr>
                    <w:t>Indirect</w:t>
                  </w:r>
                </w:p>
              </w:tc>
              <w:tc>
                <w:tcPr>
                  <w:tcW w:w="684" w:type="dxa"/>
                  <w:vAlign w:val="center"/>
                </w:tcPr>
                <w:p w14:paraId="436736F1" w14:textId="0CACB800"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rPr>
                    <w:t>0.</w:t>
                  </w:r>
                  <w:r w:rsidRPr="00505C3E">
                    <w:rPr>
                      <w:rFonts w:ascii="Arial" w:hAnsi="Arial" w:cs="Arial"/>
                      <w:color w:val="000000" w:themeColor="text1"/>
                      <w:sz w:val="18"/>
                      <w:szCs w:val="18"/>
                    </w:rPr>
                    <w:t>3</w:t>
                  </w:r>
                </w:p>
              </w:tc>
              <w:tc>
                <w:tcPr>
                  <w:tcW w:w="630" w:type="dxa"/>
                  <w:vAlign w:val="center"/>
                </w:tcPr>
                <w:p w14:paraId="69B390F8" w14:textId="591B7F1D"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rPr>
                    <w:t>0.</w:t>
                  </w:r>
                  <w:r w:rsidRPr="00505C3E">
                    <w:rPr>
                      <w:rFonts w:ascii="Arial" w:hAnsi="Arial" w:cs="Arial"/>
                      <w:color w:val="000000" w:themeColor="text1"/>
                      <w:sz w:val="18"/>
                      <w:szCs w:val="18"/>
                    </w:rPr>
                    <w:t>4</w:t>
                  </w:r>
                </w:p>
              </w:tc>
              <w:tc>
                <w:tcPr>
                  <w:tcW w:w="630" w:type="dxa"/>
                  <w:vAlign w:val="center"/>
                </w:tcPr>
                <w:p w14:paraId="28CD56A2" w14:textId="0EE84E56" w:rsidR="00FE5FDD" w:rsidRDefault="007D4272" w:rsidP="00983862">
                  <w:pPr>
                    <w:pBdr>
                      <w:right w:val="single" w:sz="12" w:space="4" w:color="000000" w:themeColor="text1"/>
                    </w:pBdr>
                    <w:jc w:val="right"/>
                    <w:rPr>
                      <w:rFonts w:ascii="Arial" w:eastAsiaTheme="majorEastAsia" w:hAnsi="Arial" w:cs="Arial"/>
                      <w:i/>
                      <w:iCs/>
                      <w:color w:val="000000" w:themeColor="text1"/>
                      <w:sz w:val="18"/>
                    </w:rPr>
                  </w:pPr>
                  <w:r w:rsidRPr="00505C3E">
                    <w:rPr>
                      <w:rFonts w:ascii="Arial" w:hAnsi="Arial" w:cs="Arial"/>
                      <w:color w:val="000000" w:themeColor="text1"/>
                      <w:sz w:val="18"/>
                      <w:szCs w:val="18"/>
                    </w:rPr>
                    <w:t>0.5</w:t>
                  </w:r>
                </w:p>
              </w:tc>
            </w:tr>
            <w:tr w:rsidR="00604FA7" w:rsidRPr="00505C3E" w14:paraId="5A287025" w14:textId="77777777" w:rsidTr="00FA4096">
              <w:trPr>
                <w:jc w:val="center"/>
              </w:trPr>
              <w:tc>
                <w:tcPr>
                  <w:tcW w:w="684" w:type="dxa"/>
                  <w:vAlign w:val="center"/>
                </w:tcPr>
                <w:p w14:paraId="423ACA97" w14:textId="77777777" w:rsidR="00FE5FDD" w:rsidRDefault="00604FA7" w:rsidP="00983862">
                  <w:pPr>
                    <w:pBdr>
                      <w:right w:val="single" w:sz="12" w:space="4" w:color="000000" w:themeColor="text1"/>
                    </w:pBdr>
                    <w:spacing w:after="60"/>
                    <w:ind w:left="18"/>
                    <w:rPr>
                      <w:rFonts w:ascii="Arial" w:eastAsiaTheme="majorEastAsia" w:hAnsi="Arial" w:cs="Arial"/>
                      <w:i/>
                      <w:iCs/>
                      <w:color w:val="000000" w:themeColor="text1"/>
                      <w:sz w:val="18"/>
                    </w:rPr>
                  </w:pPr>
                  <w:r w:rsidRPr="00505C3E">
                    <w:rPr>
                      <w:rFonts w:ascii="Arial" w:hAnsi="Arial" w:cs="Arial"/>
                      <w:i/>
                      <w:color w:val="000000" w:themeColor="text1"/>
                      <w:sz w:val="18"/>
                    </w:rPr>
                    <w:t>Total</w:t>
                  </w:r>
                </w:p>
              </w:tc>
              <w:tc>
                <w:tcPr>
                  <w:tcW w:w="684" w:type="dxa"/>
                  <w:vAlign w:val="center"/>
                </w:tcPr>
                <w:p w14:paraId="647ADE91" w14:textId="77777777" w:rsidR="00FE5FDD" w:rsidRDefault="007D4272" w:rsidP="00983862">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rPr>
                    <w:t>$0.</w:t>
                  </w:r>
                  <w:r w:rsidRPr="00505C3E">
                    <w:rPr>
                      <w:rFonts w:ascii="Arial" w:hAnsi="Arial" w:cs="Arial"/>
                      <w:color w:val="000000" w:themeColor="text1"/>
                      <w:sz w:val="18"/>
                      <w:szCs w:val="18"/>
                    </w:rPr>
                    <w:t>9</w:t>
                  </w:r>
                </w:p>
              </w:tc>
              <w:tc>
                <w:tcPr>
                  <w:tcW w:w="630" w:type="dxa"/>
                  <w:vAlign w:val="center"/>
                </w:tcPr>
                <w:p w14:paraId="58B9471A" w14:textId="77777777" w:rsidR="00FE5FDD" w:rsidRDefault="007D4272" w:rsidP="00983862">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rPr>
                    <w:t>$1.</w:t>
                  </w:r>
                  <w:r w:rsidRPr="00505C3E">
                    <w:rPr>
                      <w:rFonts w:ascii="Arial" w:hAnsi="Arial" w:cs="Arial"/>
                      <w:color w:val="000000" w:themeColor="text1"/>
                      <w:sz w:val="18"/>
                      <w:szCs w:val="18"/>
                    </w:rPr>
                    <w:t>3</w:t>
                  </w:r>
                </w:p>
              </w:tc>
              <w:tc>
                <w:tcPr>
                  <w:tcW w:w="630" w:type="dxa"/>
                  <w:vAlign w:val="center"/>
                </w:tcPr>
                <w:p w14:paraId="56E995E6" w14:textId="77777777" w:rsidR="00FE5FDD" w:rsidRDefault="007D4272" w:rsidP="00983862">
                  <w:pPr>
                    <w:pBdr>
                      <w:right w:val="single" w:sz="12" w:space="4" w:color="000000" w:themeColor="text1"/>
                    </w:pBdr>
                    <w:spacing w:after="60"/>
                    <w:jc w:val="right"/>
                    <w:rPr>
                      <w:rFonts w:ascii="Arial" w:eastAsiaTheme="majorEastAsia" w:hAnsi="Arial" w:cs="Arial"/>
                      <w:i/>
                      <w:iCs/>
                      <w:color w:val="000000" w:themeColor="text1"/>
                      <w:sz w:val="18"/>
                    </w:rPr>
                  </w:pPr>
                  <w:r w:rsidRPr="00505C3E">
                    <w:rPr>
                      <w:rFonts w:ascii="Arial" w:hAnsi="Arial" w:cs="Arial"/>
                      <w:color w:val="000000" w:themeColor="text1"/>
                      <w:sz w:val="18"/>
                    </w:rPr>
                    <w:t>$</w:t>
                  </w:r>
                  <w:r w:rsidRPr="00505C3E">
                    <w:rPr>
                      <w:rFonts w:ascii="Arial" w:hAnsi="Arial" w:cs="Arial"/>
                      <w:color w:val="000000" w:themeColor="text1"/>
                      <w:sz w:val="18"/>
                      <w:szCs w:val="18"/>
                    </w:rPr>
                    <w:t>1.8</w:t>
                  </w:r>
                </w:p>
              </w:tc>
            </w:tr>
          </w:tbl>
          <w:p w14:paraId="5C63223E" w14:textId="77777777" w:rsidR="00FE5FDD" w:rsidRDefault="003B3159" w:rsidP="00983862">
            <w:pPr>
              <w:pBdr>
                <w:right w:val="single" w:sz="12" w:space="4" w:color="000000" w:themeColor="text1"/>
              </w:pBdr>
              <w:spacing w:before="120" w:after="60"/>
              <w:rPr>
                <w:rFonts w:ascii="Arial" w:eastAsiaTheme="majorEastAsia" w:hAnsi="Arial" w:cs="Arial"/>
                <w:b/>
                <w:i/>
                <w:iCs/>
                <w:color w:val="000000" w:themeColor="text1"/>
                <w:sz w:val="18"/>
              </w:rPr>
            </w:pPr>
            <w:r w:rsidRPr="00505C3E">
              <w:rPr>
                <w:rFonts w:ascii="Arial" w:hAnsi="Arial" w:cs="Arial"/>
                <w:b/>
                <w:color w:val="000000" w:themeColor="text1"/>
                <w:sz w:val="18"/>
              </w:rPr>
              <w:t xml:space="preserve"> </w:t>
            </w:r>
            <w:r w:rsidRPr="00983862">
              <w:rPr>
                <w:rFonts w:ascii="Arial" w:hAnsi="Arial" w:cs="Arial"/>
                <w:b/>
                <w:color w:val="000000" w:themeColor="text1"/>
                <w:sz w:val="18"/>
                <w:szCs w:val="18"/>
              </w:rPr>
              <w:t>Accomplishments to Date</w:t>
            </w:r>
            <w:r w:rsidR="00425781" w:rsidRPr="00983862">
              <w:rPr>
                <w:rFonts w:ascii="Arial" w:hAnsi="Arial" w:cs="Arial"/>
                <w:b/>
                <w:color w:val="000000" w:themeColor="text1"/>
                <w:sz w:val="18"/>
                <w:szCs w:val="18"/>
              </w:rPr>
              <w:t>:</w:t>
            </w:r>
          </w:p>
          <w:p w14:paraId="62258674"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Pr>
                <w:rFonts w:ascii="Arial" w:hAnsi="Arial" w:cs="Arial"/>
                <w:color w:val="000000" w:themeColor="text1"/>
                <w:sz w:val="18"/>
                <w:szCs w:val="18"/>
              </w:rPr>
              <w:t>Trained on the world’s largest clinical EEG database (</w:t>
            </w:r>
            <w:r w:rsidRPr="00922516">
              <w:rPr>
                <w:rFonts w:ascii="Arial" w:hAnsi="Arial" w:cs="Arial"/>
                <w:color w:val="000000" w:themeColor="text1"/>
                <w:sz w:val="18"/>
                <w:szCs w:val="18"/>
              </w:rPr>
              <w:t xml:space="preserve">25,000+ </w:t>
            </w:r>
            <w:r>
              <w:rPr>
                <w:rFonts w:ascii="Arial" w:hAnsi="Arial" w:cs="Arial"/>
                <w:color w:val="000000" w:themeColor="text1"/>
                <w:sz w:val="18"/>
                <w:szCs w:val="18"/>
              </w:rPr>
              <w:t>EEGs spanning 12 years at TUH)</w:t>
            </w:r>
          </w:p>
          <w:p w14:paraId="54A3F97D" w14:textId="77777777" w:rsidR="00983862" w:rsidRPr="00922516"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color w:val="000000" w:themeColor="text1"/>
                <w:sz w:val="18"/>
                <w:szCs w:val="18"/>
              </w:rPr>
            </w:pPr>
            <w:r>
              <w:rPr>
                <w:rFonts w:ascii="Arial" w:hAnsi="Arial" w:cs="Arial"/>
                <w:color w:val="000000" w:themeColor="text1"/>
                <w:sz w:val="18"/>
                <w:szCs w:val="18"/>
              </w:rPr>
              <w:t>Automatic identification of EEG events such as spikes, GPEDs, PLEDs to enhance reporting</w:t>
            </w:r>
          </w:p>
          <w:p w14:paraId="31A71916" w14:textId="77777777" w:rsidR="00FE5FDD" w:rsidRPr="00983862" w:rsidRDefault="00983862" w:rsidP="00983862">
            <w:pPr>
              <w:pStyle w:val="ListParagraph"/>
              <w:numPr>
                <w:ilvl w:val="0"/>
                <w:numId w:val="35"/>
              </w:numPr>
              <w:pBdr>
                <w:right w:val="single" w:sz="12" w:space="4" w:color="000000" w:themeColor="text1"/>
              </w:pBdr>
              <w:spacing w:after="20"/>
              <w:ind w:hanging="245"/>
              <w:contextualSpacing w:val="0"/>
              <w:rPr>
                <w:rFonts w:ascii="Arial" w:hAnsi="Arial" w:cs="Arial"/>
                <w:i/>
                <w:color w:val="000000" w:themeColor="text1"/>
                <w:sz w:val="20"/>
              </w:rPr>
            </w:pPr>
            <w:r>
              <w:rPr>
                <w:rFonts w:ascii="Arial" w:hAnsi="Arial" w:cs="Arial"/>
                <w:color w:val="000000" w:themeColor="text1"/>
                <w:sz w:val="18"/>
                <w:szCs w:val="18"/>
              </w:rPr>
              <w:t>Cross-platform s</w:t>
            </w:r>
            <w:r w:rsidRPr="00922516">
              <w:rPr>
                <w:rFonts w:ascii="Arial" w:hAnsi="Arial" w:cs="Arial"/>
                <w:color w:val="000000" w:themeColor="text1"/>
                <w:sz w:val="18"/>
                <w:szCs w:val="18"/>
              </w:rPr>
              <w:t>oftware tools</w:t>
            </w:r>
            <w:r>
              <w:rPr>
                <w:rFonts w:ascii="Arial" w:hAnsi="Arial" w:cs="Arial"/>
                <w:color w:val="000000" w:themeColor="text1"/>
                <w:sz w:val="18"/>
                <w:szCs w:val="18"/>
              </w:rPr>
              <w:t xml:space="preserve"> that enable rapid development of analytics and visualization</w:t>
            </w:r>
          </w:p>
        </w:tc>
        <w:tc>
          <w:tcPr>
            <w:tcW w:w="7560" w:type="dxa"/>
            <w:tcBorders>
              <w:top w:val="single" w:sz="12" w:space="0" w:color="000000" w:themeColor="text1"/>
              <w:left w:val="single" w:sz="8" w:space="0" w:color="000000" w:themeColor="text1"/>
              <w:bottom w:val="single" w:sz="12" w:space="0" w:color="000000" w:themeColor="text1"/>
              <w:right w:val="single" w:sz="12" w:space="0" w:color="000000" w:themeColor="text1"/>
            </w:tcBorders>
            <w:tcMar>
              <w:top w:w="86" w:type="dxa"/>
              <w:left w:w="86" w:type="dxa"/>
              <w:bottom w:w="86" w:type="dxa"/>
              <w:right w:w="86" w:type="dxa"/>
            </w:tcMar>
          </w:tcPr>
          <w:p w14:paraId="727A3150" w14:textId="77777777" w:rsidR="007D4272" w:rsidRPr="00505C3E" w:rsidRDefault="007D4272" w:rsidP="00165CC6">
            <w:pPr>
              <w:spacing w:after="60"/>
              <w:jc w:val="both"/>
              <w:rPr>
                <w:rFonts w:ascii="Arial" w:hAnsi="Arial" w:cs="Arial"/>
                <w:color w:val="000000" w:themeColor="text1"/>
                <w:sz w:val="18"/>
              </w:rPr>
            </w:pPr>
            <w:r w:rsidRPr="00505C3E">
              <w:rPr>
                <w:rFonts w:ascii="Arial" w:hAnsi="Arial" w:cs="Arial"/>
                <w:b/>
                <w:color w:val="000000" w:themeColor="text1"/>
                <w:sz w:val="18"/>
              </w:rPr>
              <w:t>Overview:</w:t>
            </w:r>
            <w:r w:rsidR="00954D17" w:rsidRPr="00983862">
              <w:rPr>
                <w:rFonts w:ascii="Arial" w:hAnsi="Arial" w:cs="Arial"/>
                <w:color w:val="000000" w:themeColor="text1"/>
                <w:sz w:val="18"/>
              </w:rPr>
              <w:t xml:space="preserve"> </w:t>
            </w:r>
            <w:r w:rsidR="00333F20" w:rsidRPr="00505C3E">
              <w:rPr>
                <w:rFonts w:ascii="Arial" w:hAnsi="Arial" w:cs="Arial"/>
                <w:color w:val="000000" w:themeColor="text1"/>
                <w:sz w:val="18"/>
              </w:rPr>
              <w:t xml:space="preserve">A </w:t>
            </w:r>
            <w:r w:rsidR="00333F20" w:rsidRPr="00505C3E">
              <w:rPr>
                <w:rFonts w:ascii="Arial" w:hAnsi="Arial" w:cs="Arial"/>
                <w:color w:val="000000" w:themeColor="text1"/>
                <w:sz w:val="18"/>
                <w:szCs w:val="18"/>
              </w:rPr>
              <w:t>u</w:t>
            </w:r>
            <w:r w:rsidRPr="00505C3E">
              <w:rPr>
                <w:rFonts w:ascii="Arial" w:hAnsi="Arial" w:cs="Arial"/>
                <w:color w:val="000000" w:themeColor="text1"/>
                <w:sz w:val="18"/>
                <w:szCs w:val="18"/>
              </w:rPr>
              <w:t>niversity</w:t>
            </w:r>
            <w:r w:rsidRPr="00505C3E">
              <w:rPr>
                <w:rFonts w:ascii="Arial" w:hAnsi="Arial" w:cs="Arial"/>
                <w:color w:val="000000" w:themeColor="text1"/>
                <w:sz w:val="18"/>
              </w:rPr>
              <w:t xml:space="preserve">-based research team, comprising world-known experts in computer science, biomedical engineering as well as in neurology, has identified a substantial market opportunity for </w:t>
            </w:r>
            <w:r w:rsidRPr="00FA4096">
              <w:rPr>
                <w:rFonts w:ascii="Arial" w:hAnsi="Arial" w:cs="Arial"/>
                <w:i/>
                <w:color w:val="000000" w:themeColor="text1"/>
                <w:sz w:val="18"/>
              </w:rPr>
              <w:t>AutoEEG</w:t>
            </w:r>
            <w:r w:rsidRPr="00FA4096">
              <w:rPr>
                <w:rFonts w:ascii="Arial" w:hAnsi="Arial" w:cs="Arial"/>
                <w:i/>
                <w:color w:val="000000" w:themeColor="text1"/>
                <w:sz w:val="18"/>
                <w:vertAlign w:val="superscript"/>
              </w:rPr>
              <w:t>TM</w:t>
            </w:r>
            <w:r w:rsidRPr="00505C3E">
              <w:rPr>
                <w:rFonts w:ascii="Arial" w:hAnsi="Arial" w:cs="Arial"/>
                <w:color w:val="000000" w:themeColor="text1"/>
                <w:sz w:val="18"/>
              </w:rPr>
              <w:t>, a product of their work focused on neural signal processing using Big Data. This distinctive software tool autoscans electroencephalogram</w:t>
            </w:r>
            <w:r w:rsidRPr="00505C3E">
              <w:rPr>
                <w:rFonts w:ascii="Arial" w:hAnsi="Arial" w:cs="Arial"/>
                <w:color w:val="000000" w:themeColor="text1"/>
                <w:sz w:val="18"/>
                <w:szCs w:val="18"/>
              </w:rPr>
              <w:t> </w:t>
            </w:r>
            <w:r w:rsidRPr="00505C3E">
              <w:rPr>
                <w:rFonts w:ascii="Arial" w:hAnsi="Arial" w:cs="Arial"/>
                <w:color w:val="000000" w:themeColor="text1"/>
                <w:sz w:val="18"/>
              </w:rPr>
              <w:t xml:space="preserve">(EEG) signals and </w:t>
            </w:r>
            <w:r w:rsidR="008F5B29" w:rsidRPr="00505C3E">
              <w:rPr>
                <w:rFonts w:ascii="Arial" w:hAnsi="Arial" w:cs="Arial"/>
                <w:color w:val="000000" w:themeColor="text1"/>
                <w:sz w:val="18"/>
                <w:szCs w:val="18"/>
              </w:rPr>
              <w:t xml:space="preserve">directs a neurologist’s attention to </w:t>
            </w:r>
            <w:r w:rsidR="008F5B29" w:rsidRPr="00505C3E">
              <w:rPr>
                <w:rFonts w:ascii="Arial" w:hAnsi="Arial" w:cs="Arial"/>
                <w:color w:val="000000" w:themeColor="text1"/>
                <w:sz w:val="18"/>
              </w:rPr>
              <w:t xml:space="preserve">areas of </w:t>
            </w:r>
            <w:r w:rsidR="008F5B29" w:rsidRPr="00505C3E">
              <w:rPr>
                <w:rFonts w:ascii="Arial" w:hAnsi="Arial" w:cs="Arial"/>
                <w:color w:val="000000" w:themeColor="text1"/>
                <w:sz w:val="18"/>
                <w:szCs w:val="18"/>
              </w:rPr>
              <w:t>the signal critical to a</w:t>
            </w:r>
            <w:r w:rsidR="008F5B29" w:rsidRPr="00505C3E">
              <w:rPr>
                <w:rFonts w:ascii="Arial" w:hAnsi="Arial" w:cs="Arial"/>
                <w:color w:val="000000" w:themeColor="text1"/>
                <w:sz w:val="18"/>
              </w:rPr>
              <w:t xml:space="preserve"> diagnosis.</w:t>
            </w:r>
            <w:r w:rsidRPr="00505C3E">
              <w:rPr>
                <w:rFonts w:ascii="Arial" w:hAnsi="Arial" w:cs="Arial"/>
                <w:color w:val="000000" w:themeColor="text1"/>
                <w:sz w:val="18"/>
              </w:rPr>
              <w:t xml:space="preserve"> </w:t>
            </w:r>
          </w:p>
          <w:p w14:paraId="54C2BF79" w14:textId="77777777" w:rsidR="00FE5FDD" w:rsidRDefault="007D4272" w:rsidP="00983862">
            <w:pPr>
              <w:spacing w:after="60"/>
              <w:jc w:val="both"/>
              <w:rPr>
                <w:rFonts w:ascii="Arial" w:eastAsiaTheme="majorEastAsia" w:hAnsi="Arial" w:cs="Arial"/>
                <w:i/>
                <w:iCs/>
                <w:color w:val="000000" w:themeColor="text1"/>
                <w:sz w:val="18"/>
              </w:rPr>
            </w:pPr>
            <w:r w:rsidRPr="00505C3E">
              <w:rPr>
                <w:rFonts w:ascii="Arial" w:hAnsi="Arial" w:cs="Arial"/>
                <w:color w:val="000000" w:themeColor="text1"/>
                <w:sz w:val="18"/>
              </w:rPr>
              <w:t xml:space="preserve">EEGs </w:t>
            </w:r>
            <w:r w:rsidR="00165CC6" w:rsidRPr="00505C3E">
              <w:rPr>
                <w:rFonts w:ascii="Arial" w:hAnsi="Arial" w:cs="Arial"/>
                <w:color w:val="000000" w:themeColor="text1"/>
                <w:sz w:val="18"/>
              </w:rPr>
              <w:t xml:space="preserve">are the most pervasive neural diagnostic tool; they require a highly trained </w:t>
            </w:r>
            <w:r w:rsidRPr="00505C3E">
              <w:rPr>
                <w:rFonts w:ascii="Arial" w:hAnsi="Arial" w:cs="Arial"/>
                <w:color w:val="000000" w:themeColor="text1"/>
                <w:sz w:val="18"/>
              </w:rPr>
              <w:t xml:space="preserve">neurologist to analyze them. </w:t>
            </w:r>
            <w:r w:rsidR="00165CC6" w:rsidRPr="00505C3E">
              <w:rPr>
                <w:rFonts w:ascii="Arial" w:hAnsi="Arial" w:cs="Arial"/>
                <w:color w:val="000000" w:themeColor="text1"/>
                <w:sz w:val="18"/>
              </w:rPr>
              <w:t xml:space="preserve">This analysis is time consuming and expensive. </w:t>
            </w:r>
            <w:r w:rsidR="00165CC6" w:rsidRPr="00505C3E">
              <w:rPr>
                <w:rFonts w:ascii="Arial" w:hAnsi="Arial" w:cs="Arial"/>
                <w:i/>
                <w:color w:val="000000" w:themeColor="text1"/>
                <w:sz w:val="18"/>
              </w:rPr>
              <w:t>AutoEEG</w:t>
            </w:r>
            <w:r w:rsidR="00922516" w:rsidRPr="00505C3E">
              <w:rPr>
                <w:rFonts w:ascii="Arial" w:hAnsi="Arial" w:cs="Arial"/>
                <w:i/>
                <w:color w:val="000000" w:themeColor="text1"/>
                <w:sz w:val="18"/>
                <w:vertAlign w:val="superscript"/>
              </w:rPr>
              <w:t>TM</w:t>
            </w:r>
            <w:r w:rsidR="00165CC6" w:rsidRPr="00505C3E">
              <w:rPr>
                <w:rFonts w:ascii="Arial" w:hAnsi="Arial" w:cs="Arial"/>
                <w:b/>
                <w:color w:val="000000" w:themeColor="text1"/>
                <w:sz w:val="18"/>
              </w:rPr>
              <w:t xml:space="preserve"> </w:t>
            </w:r>
            <w:r w:rsidR="00165CC6" w:rsidRPr="00505C3E">
              <w:rPr>
                <w:rFonts w:ascii="Arial" w:hAnsi="Arial" w:cs="Arial"/>
                <w:color w:val="000000" w:themeColor="text1"/>
                <w:sz w:val="18"/>
              </w:rPr>
              <w:t xml:space="preserve">enhances productivity by autoscanning EEG signals and flagging sections of the signal that need further review by a clinician. The tool reduces the amount of data </w:t>
            </w:r>
            <w:r w:rsidR="00165CC6" w:rsidRPr="00505C3E">
              <w:rPr>
                <w:rFonts w:ascii="Arial" w:hAnsi="Arial" w:cs="Arial"/>
                <w:color w:val="000000" w:themeColor="text1"/>
                <w:sz w:val="18"/>
                <w:szCs w:val="18"/>
              </w:rPr>
              <w:t>needing</w:t>
            </w:r>
            <w:r w:rsidR="00165CC6" w:rsidRPr="00505C3E">
              <w:rPr>
                <w:rFonts w:ascii="Arial" w:hAnsi="Arial" w:cs="Arial"/>
                <w:color w:val="000000" w:themeColor="text1"/>
                <w:sz w:val="18"/>
              </w:rPr>
              <w:t xml:space="preserve"> manual review by two orders of magnitude, offering substantial productivity gains in a clinical setting.</w:t>
            </w:r>
            <w:r w:rsidR="00165CC6" w:rsidRPr="00505C3E">
              <w:rPr>
                <w:rFonts w:ascii="Arial" w:hAnsi="Arial" w:cs="Arial"/>
                <w:color w:val="000000" w:themeColor="text1"/>
                <w:sz w:val="18"/>
                <w:szCs w:val="18"/>
              </w:rPr>
              <w:t xml:space="preserve"> </w:t>
            </w:r>
            <w:r w:rsidR="002D6EDC" w:rsidRPr="00505C3E">
              <w:rPr>
                <w:rFonts w:ascii="Arial" w:hAnsi="Arial" w:cs="Arial"/>
                <w:color w:val="000000" w:themeColor="text1"/>
                <w:sz w:val="18"/>
                <w:szCs w:val="18"/>
              </w:rPr>
              <w:t>Dev</w:t>
            </w:r>
            <w:r w:rsidRPr="00505C3E">
              <w:rPr>
                <w:rFonts w:ascii="Arial" w:hAnsi="Arial" w:cs="Arial"/>
                <w:color w:val="000000" w:themeColor="text1"/>
                <w:sz w:val="18"/>
                <w:szCs w:val="18"/>
              </w:rPr>
              <w:t xml:space="preserve">eloped by an interdisciplinary </w:t>
            </w:r>
            <w:r w:rsidR="002D6EDC" w:rsidRPr="00505C3E">
              <w:rPr>
                <w:rFonts w:ascii="Arial" w:hAnsi="Arial" w:cs="Arial"/>
                <w:color w:val="000000" w:themeColor="text1"/>
                <w:sz w:val="18"/>
                <w:szCs w:val="18"/>
              </w:rPr>
              <w:t>team of Temple University researchers,</w:t>
            </w:r>
            <w:r w:rsidR="002D6EDC" w:rsidRPr="00505C3E">
              <w:rPr>
                <w:rFonts w:ascii="Arial" w:hAnsi="Arial" w:cs="Arial"/>
                <w:color w:val="000000" w:themeColor="text1"/>
                <w:sz w:val="18"/>
              </w:rPr>
              <w:t xml:space="preserve"> </w:t>
            </w:r>
            <w:r w:rsidR="00922516" w:rsidRPr="00505C3E">
              <w:rPr>
                <w:rFonts w:ascii="Arial" w:hAnsi="Arial" w:cs="Arial"/>
                <w:i/>
                <w:color w:val="000000" w:themeColor="text1"/>
                <w:sz w:val="18"/>
              </w:rPr>
              <w:t>AutoEEG</w:t>
            </w:r>
            <w:r w:rsidR="00922516" w:rsidRPr="00505C3E">
              <w:rPr>
                <w:rFonts w:ascii="Arial" w:hAnsi="Arial" w:cs="Arial"/>
                <w:i/>
                <w:color w:val="000000" w:themeColor="text1"/>
                <w:sz w:val="18"/>
                <w:vertAlign w:val="superscript"/>
              </w:rPr>
              <w:t>TM</w:t>
            </w:r>
            <w:r w:rsidR="002D6EDC" w:rsidRPr="00505C3E">
              <w:rPr>
                <w:rFonts w:ascii="Arial" w:hAnsi="Arial" w:cs="Arial"/>
                <w:color w:val="000000" w:themeColor="text1"/>
                <w:sz w:val="18"/>
              </w:rPr>
              <w:t xml:space="preserve">, </w:t>
            </w:r>
            <w:r w:rsidR="00165CC6" w:rsidRPr="00505C3E">
              <w:rPr>
                <w:rFonts w:ascii="Arial" w:hAnsi="Arial" w:cs="Arial"/>
                <w:color w:val="000000" w:themeColor="text1"/>
                <w:sz w:val="18"/>
              </w:rPr>
              <w:t xml:space="preserve">addresses three </w:t>
            </w:r>
            <w:r w:rsidR="0071689C" w:rsidRPr="00505C3E">
              <w:rPr>
                <w:rFonts w:ascii="Arial" w:hAnsi="Arial" w:cs="Arial"/>
                <w:color w:val="000000" w:themeColor="text1"/>
                <w:sz w:val="18"/>
                <w:szCs w:val="18"/>
              </w:rPr>
              <w:t>critical industry</w:t>
            </w:r>
            <w:r w:rsidR="00165CC6" w:rsidRPr="00505C3E">
              <w:rPr>
                <w:rFonts w:ascii="Arial" w:hAnsi="Arial" w:cs="Arial"/>
                <w:color w:val="000000" w:themeColor="text1"/>
                <w:sz w:val="18"/>
              </w:rPr>
              <w:t xml:space="preserve"> issues: </w:t>
            </w:r>
          </w:p>
          <w:p w14:paraId="4E387713" w14:textId="77777777" w:rsidR="00FE5FDD" w:rsidRDefault="00165CC6" w:rsidP="00983862">
            <w:pPr>
              <w:pStyle w:val="ListParagraph"/>
              <w:numPr>
                <w:ilvl w:val="0"/>
                <w:numId w:val="28"/>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Long-term EEG monitoring (2 hours+), used to diagnose rare events such as epileptic seizures, is difficult or impossible to scan manually without decision software support.</w:t>
            </w:r>
          </w:p>
          <w:p w14:paraId="673CDFE1" w14:textId="77777777" w:rsidR="00FE5FDD" w:rsidRDefault="00165CC6" w:rsidP="00983862">
            <w:pPr>
              <w:pStyle w:val="ListParagraph"/>
              <w:numPr>
                <w:ilvl w:val="0"/>
                <w:numId w:val="28"/>
              </w:numPr>
              <w:ind w:left="288" w:hanging="180"/>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Development of portable standalone diagnostic tools, which can address emerging markets such as contact sports, is highly difficult.</w:t>
            </w:r>
          </w:p>
          <w:p w14:paraId="25659B9F" w14:textId="77777777" w:rsidR="00FE5FDD" w:rsidRDefault="00165CC6" w:rsidP="00983862">
            <w:pPr>
              <w:pStyle w:val="ListParagraph"/>
              <w:numPr>
                <w:ilvl w:val="0"/>
                <w:numId w:val="28"/>
              </w:numPr>
              <w:ind w:left="288" w:hanging="180"/>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Smaller or stand alone medical practices often lack expertise to conduct diagnostics on-site and accordingly lose revenue.</w:t>
            </w:r>
          </w:p>
          <w:p w14:paraId="460FF748" w14:textId="77777777" w:rsidR="00FE5FDD" w:rsidRDefault="004E6DAA" w:rsidP="00983862">
            <w:pPr>
              <w:spacing w:before="60" w:after="60"/>
              <w:jc w:val="both"/>
              <w:rPr>
                <w:rFonts w:ascii="Arial" w:eastAsiaTheme="majorEastAsia" w:hAnsi="Arial" w:cs="Arial"/>
                <w:i/>
                <w:iCs/>
                <w:color w:val="000000" w:themeColor="text1"/>
                <w:sz w:val="18"/>
              </w:rPr>
            </w:pPr>
            <w:r w:rsidRPr="00505C3E">
              <w:rPr>
                <w:rFonts w:ascii="Arial" w:hAnsi="Arial" w:cs="Arial"/>
                <w:color w:val="000000" w:themeColor="text1"/>
                <w:sz w:val="18"/>
              </w:rPr>
              <w:t>At present, i</w:t>
            </w:r>
            <w:r w:rsidR="00603B64" w:rsidRPr="00505C3E">
              <w:rPr>
                <w:rFonts w:ascii="Arial" w:hAnsi="Arial" w:cs="Arial"/>
                <w:color w:val="000000" w:themeColor="text1"/>
                <w:sz w:val="18"/>
              </w:rPr>
              <w:t xml:space="preserve">nnovation in commercial clinical decision support tool development is </w:t>
            </w:r>
            <w:r w:rsidR="00BD604A" w:rsidRPr="00505C3E">
              <w:rPr>
                <w:rFonts w:ascii="Arial" w:hAnsi="Arial" w:cs="Arial"/>
                <w:color w:val="000000" w:themeColor="text1"/>
                <w:sz w:val="18"/>
              </w:rPr>
              <w:t>minimal</w:t>
            </w:r>
            <w:r w:rsidR="00FB1608" w:rsidRPr="00505C3E">
              <w:rPr>
                <w:rFonts w:ascii="Arial" w:hAnsi="Arial" w:cs="Arial"/>
                <w:color w:val="000000" w:themeColor="text1"/>
                <w:sz w:val="18"/>
              </w:rPr>
              <w:t xml:space="preserve">, </w:t>
            </w:r>
            <w:r w:rsidR="00603B64" w:rsidRPr="00505C3E">
              <w:rPr>
                <w:rFonts w:ascii="Arial" w:hAnsi="Arial" w:cs="Arial"/>
                <w:color w:val="000000" w:themeColor="text1"/>
                <w:sz w:val="18"/>
              </w:rPr>
              <w:t>while t</w:t>
            </w:r>
            <w:r w:rsidR="007E39A6" w:rsidRPr="00505C3E">
              <w:rPr>
                <w:rFonts w:ascii="Arial" w:hAnsi="Arial" w:cs="Arial"/>
                <w:color w:val="000000" w:themeColor="text1"/>
                <w:sz w:val="18"/>
              </w:rPr>
              <w:t>he global market for rapidly diagnosing brain-related injury and disease is growing</w:t>
            </w:r>
            <w:r w:rsidR="00412641" w:rsidRPr="00505C3E">
              <w:rPr>
                <w:rFonts w:ascii="Arial" w:hAnsi="Arial" w:cs="Arial"/>
                <w:color w:val="000000" w:themeColor="text1"/>
                <w:sz w:val="18"/>
              </w:rPr>
              <w:t xml:space="preserve">. </w:t>
            </w:r>
            <w:r w:rsidR="0062721D" w:rsidRPr="00505C3E">
              <w:rPr>
                <w:rFonts w:ascii="Arial" w:hAnsi="Arial" w:cs="Arial"/>
                <w:color w:val="000000" w:themeColor="text1"/>
                <w:sz w:val="18"/>
              </w:rPr>
              <w:t>The global brain function monitoring market is currently ~ $1</w:t>
            </w:r>
            <w:r w:rsidR="00165CC6" w:rsidRPr="00505C3E">
              <w:rPr>
                <w:rFonts w:ascii="Arial" w:hAnsi="Arial" w:cs="Arial"/>
                <w:color w:val="000000" w:themeColor="text1"/>
                <w:sz w:val="18"/>
              </w:rPr>
              <w:t>.1B (2014</w:t>
            </w:r>
            <w:r w:rsidR="0062721D" w:rsidRPr="00505C3E">
              <w:rPr>
                <w:rFonts w:ascii="Arial" w:hAnsi="Arial" w:cs="Arial"/>
                <w:color w:val="000000" w:themeColor="text1"/>
                <w:sz w:val="18"/>
              </w:rPr>
              <w:t xml:space="preserve">) and expected to average 5% growth/year over the next 5 years, to </w:t>
            </w:r>
            <w:r w:rsidR="00FB1608" w:rsidRPr="00505C3E">
              <w:rPr>
                <w:rFonts w:ascii="Arial" w:hAnsi="Arial" w:cs="Arial"/>
                <w:color w:val="000000" w:themeColor="text1"/>
                <w:sz w:val="18"/>
              </w:rPr>
              <w:t>reach</w:t>
            </w:r>
            <w:r w:rsidR="0062721D" w:rsidRPr="00505C3E">
              <w:rPr>
                <w:rFonts w:ascii="Arial" w:hAnsi="Arial" w:cs="Arial"/>
                <w:color w:val="000000" w:themeColor="text1"/>
                <w:sz w:val="18"/>
              </w:rPr>
              <w:t xml:space="preserve"> </w:t>
            </w:r>
            <w:r w:rsidR="00FB1608" w:rsidRPr="00505C3E">
              <w:rPr>
                <w:rFonts w:ascii="Arial" w:hAnsi="Arial" w:cs="Arial"/>
                <w:color w:val="000000" w:themeColor="text1"/>
                <w:sz w:val="18"/>
              </w:rPr>
              <w:t>~</w:t>
            </w:r>
            <w:r w:rsidR="0062721D" w:rsidRPr="00505C3E">
              <w:rPr>
                <w:rFonts w:ascii="Arial" w:hAnsi="Arial" w:cs="Arial"/>
                <w:color w:val="000000" w:themeColor="text1"/>
                <w:sz w:val="18"/>
              </w:rPr>
              <w:t>$1.</w:t>
            </w:r>
            <w:r w:rsidR="00165CC6" w:rsidRPr="00505C3E">
              <w:rPr>
                <w:rFonts w:ascii="Arial" w:hAnsi="Arial" w:cs="Arial"/>
                <w:color w:val="000000" w:themeColor="text1"/>
                <w:sz w:val="18"/>
              </w:rPr>
              <w:t>5B in 2019</w:t>
            </w:r>
            <w:r w:rsidR="0062721D" w:rsidRPr="00505C3E">
              <w:rPr>
                <w:rFonts w:ascii="Arial" w:hAnsi="Arial" w:cs="Arial"/>
                <w:color w:val="000000" w:themeColor="text1"/>
                <w:sz w:val="18"/>
              </w:rPr>
              <w:t xml:space="preserve">. Asia Pacific represents the fastest growing regional market with </w:t>
            </w:r>
            <w:r w:rsidR="007D4272" w:rsidRPr="00505C3E">
              <w:rPr>
                <w:rFonts w:ascii="Arial" w:hAnsi="Arial" w:cs="Arial"/>
                <w:color w:val="000000" w:themeColor="text1"/>
                <w:sz w:val="18"/>
              </w:rPr>
              <w:t>9% CAGR over the same period.</w:t>
            </w:r>
          </w:p>
          <w:p w14:paraId="6D8E5ACC" w14:textId="77777777" w:rsidR="00FE5FDD" w:rsidRDefault="00E47124" w:rsidP="00983862">
            <w:pPr>
              <w:spacing w:before="120" w:after="60"/>
              <w:jc w:val="both"/>
              <w:rPr>
                <w:rFonts w:ascii="Arial" w:eastAsiaTheme="majorEastAsia" w:hAnsi="Arial" w:cs="Arial"/>
                <w:i/>
                <w:iCs/>
                <w:color w:val="000000" w:themeColor="text1"/>
                <w:sz w:val="18"/>
              </w:rPr>
            </w:pPr>
            <w:r w:rsidRPr="00505C3E">
              <w:rPr>
                <w:rFonts w:ascii="Arial" w:hAnsi="Arial" w:cs="Arial"/>
                <w:b/>
                <w:color w:val="000000" w:themeColor="text1"/>
                <w:sz w:val="18"/>
              </w:rPr>
              <w:t xml:space="preserve">Product Summary: </w:t>
            </w:r>
            <w:r w:rsidR="00603B64" w:rsidRPr="00505C3E">
              <w:rPr>
                <w:rFonts w:ascii="Arial" w:hAnsi="Arial" w:cs="Arial"/>
                <w:color w:val="000000" w:themeColor="text1"/>
                <w:sz w:val="18"/>
              </w:rPr>
              <w:t xml:space="preserve">This clinical decision support tool is based on proven, advanced, deep learning technology. </w:t>
            </w:r>
            <w:r w:rsidRPr="00505C3E">
              <w:rPr>
                <w:rFonts w:ascii="Arial" w:hAnsi="Arial" w:cs="Arial"/>
                <w:color w:val="000000" w:themeColor="text1"/>
                <w:sz w:val="18"/>
              </w:rPr>
              <w:t xml:space="preserve">It reduces time to diagnosis, reduces error and </w:t>
            </w:r>
            <w:r w:rsidR="0039690E" w:rsidRPr="00505C3E">
              <w:rPr>
                <w:rFonts w:ascii="Arial" w:hAnsi="Arial" w:cs="Arial"/>
                <w:color w:val="000000" w:themeColor="text1"/>
                <w:sz w:val="18"/>
              </w:rPr>
              <w:t xml:space="preserve">is sufficiently lightweight to run on portable standalone platforms. </w:t>
            </w:r>
            <w:r w:rsidR="00422CD0" w:rsidRPr="00505C3E">
              <w:rPr>
                <w:rFonts w:ascii="Arial" w:hAnsi="Arial" w:cs="Arial"/>
                <w:color w:val="000000" w:themeColor="text1"/>
                <w:sz w:val="18"/>
              </w:rPr>
              <w:t xml:space="preserve">This technology is able to identify EEG events in the signal and subsequently </w:t>
            </w:r>
            <w:r w:rsidR="0071689C" w:rsidRPr="00505C3E">
              <w:rPr>
                <w:rFonts w:ascii="Arial" w:hAnsi="Arial" w:cs="Arial"/>
                <w:color w:val="000000" w:themeColor="text1"/>
                <w:sz w:val="18"/>
                <w:szCs w:val="18"/>
              </w:rPr>
              <w:t xml:space="preserve">to </w:t>
            </w:r>
            <w:r w:rsidR="00422CD0" w:rsidRPr="00505C3E">
              <w:rPr>
                <w:rFonts w:ascii="Arial" w:hAnsi="Arial" w:cs="Arial"/>
                <w:color w:val="000000" w:themeColor="text1"/>
                <w:sz w:val="18"/>
              </w:rPr>
              <w:t>provide a report that summarizes its findings based on the event detected. The transcribed EEG signals can be viewed from any portable computing device. It also has the ability to learn from data</w:t>
            </w:r>
            <w:r w:rsidR="00675E6D" w:rsidRPr="00505C3E">
              <w:rPr>
                <w:rFonts w:ascii="Arial" w:hAnsi="Arial" w:cs="Arial"/>
                <w:color w:val="000000" w:themeColor="text1"/>
                <w:sz w:val="18"/>
              </w:rPr>
              <w:t>, helping</w:t>
            </w:r>
            <w:r w:rsidR="00422CD0" w:rsidRPr="00505C3E">
              <w:rPr>
                <w:rFonts w:ascii="Arial" w:hAnsi="Arial" w:cs="Arial"/>
                <w:color w:val="000000" w:themeColor="text1"/>
                <w:sz w:val="18"/>
              </w:rPr>
              <w:t xml:space="preserve"> in future decision making, provid</w:t>
            </w:r>
            <w:r w:rsidR="00675E6D" w:rsidRPr="00505C3E">
              <w:rPr>
                <w:rFonts w:ascii="Arial" w:hAnsi="Arial" w:cs="Arial"/>
                <w:color w:val="000000" w:themeColor="text1"/>
                <w:sz w:val="18"/>
              </w:rPr>
              <w:t>ing</w:t>
            </w:r>
            <w:r w:rsidR="00422CD0" w:rsidRPr="00505C3E">
              <w:rPr>
                <w:rFonts w:ascii="Arial" w:hAnsi="Arial" w:cs="Arial"/>
                <w:color w:val="000000" w:themeColor="text1"/>
                <w:sz w:val="18"/>
              </w:rPr>
              <w:t xml:space="preserve"> real-time feedback to aid in diagnosis, and, for patients undergoing long-term monitoring, </w:t>
            </w:r>
            <w:r w:rsidR="00A93018" w:rsidRPr="00505C3E">
              <w:rPr>
                <w:rFonts w:ascii="Arial" w:hAnsi="Arial" w:cs="Arial"/>
                <w:color w:val="000000" w:themeColor="text1"/>
                <w:sz w:val="18"/>
              </w:rPr>
              <w:t xml:space="preserve">creating </w:t>
            </w:r>
            <w:r w:rsidR="00422CD0" w:rsidRPr="00505C3E">
              <w:rPr>
                <w:rFonts w:ascii="Arial" w:hAnsi="Arial" w:cs="Arial"/>
                <w:color w:val="000000" w:themeColor="text1"/>
                <w:sz w:val="18"/>
              </w:rPr>
              <w:t xml:space="preserve">an alert when abnormal signals are identified. </w:t>
            </w:r>
            <w:r w:rsidRPr="00505C3E">
              <w:rPr>
                <w:rFonts w:ascii="Arial" w:hAnsi="Arial" w:cs="Arial"/>
                <w:color w:val="000000" w:themeColor="text1"/>
                <w:sz w:val="18"/>
              </w:rPr>
              <w:t>Th</w:t>
            </w:r>
            <w:r w:rsidR="002D6EDC" w:rsidRPr="00505C3E">
              <w:rPr>
                <w:rFonts w:ascii="Arial" w:hAnsi="Arial" w:cs="Arial"/>
                <w:color w:val="000000" w:themeColor="text1"/>
                <w:sz w:val="18"/>
              </w:rPr>
              <w:t>is market leading product will</w:t>
            </w:r>
          </w:p>
          <w:p w14:paraId="093E358E" w14:textId="77777777" w:rsidR="00FE5FDD" w:rsidRDefault="006D1123" w:rsidP="00983862">
            <w:pPr>
              <w:pStyle w:val="ListParagraph"/>
              <w:numPr>
                <w:ilvl w:val="0"/>
                <w:numId w:val="28"/>
              </w:numPr>
              <w:ind w:left="288" w:hanging="180"/>
              <w:jc w:val="both"/>
              <w:rPr>
                <w:rFonts w:ascii="Arial" w:eastAsiaTheme="majorEastAsia" w:hAnsi="Arial" w:cs="Arial"/>
                <w:i/>
                <w:iCs/>
                <w:color w:val="000000" w:themeColor="text1"/>
                <w:sz w:val="18"/>
              </w:rPr>
            </w:pPr>
            <w:r w:rsidRPr="00505C3E">
              <w:rPr>
                <w:rFonts w:ascii="Arial" w:hAnsi="Arial" w:cs="Arial"/>
                <w:color w:val="000000" w:themeColor="text1"/>
                <w:sz w:val="18"/>
              </w:rPr>
              <w:t>E</w:t>
            </w:r>
            <w:r w:rsidR="00E47124" w:rsidRPr="00505C3E">
              <w:rPr>
                <w:rFonts w:ascii="Arial" w:hAnsi="Arial" w:cs="Arial"/>
                <w:color w:val="000000" w:themeColor="text1"/>
                <w:sz w:val="18"/>
              </w:rPr>
              <w:t xml:space="preserve">nable </w:t>
            </w:r>
            <w:r w:rsidRPr="00505C3E">
              <w:rPr>
                <w:rFonts w:ascii="Arial" w:hAnsi="Arial" w:cs="Arial"/>
                <w:color w:val="000000" w:themeColor="text1"/>
                <w:sz w:val="18"/>
              </w:rPr>
              <w:t xml:space="preserve">clinical </w:t>
            </w:r>
            <w:r w:rsidR="00165CC6" w:rsidRPr="00505C3E">
              <w:rPr>
                <w:rFonts w:ascii="Arial" w:hAnsi="Arial" w:cs="Arial"/>
                <w:color w:val="000000" w:themeColor="text1"/>
                <w:sz w:val="18"/>
              </w:rPr>
              <w:t>neurologists employing a volume-</w:t>
            </w:r>
            <w:r w:rsidRPr="00505C3E">
              <w:rPr>
                <w:rFonts w:ascii="Arial" w:hAnsi="Arial" w:cs="Arial"/>
                <w:color w:val="000000" w:themeColor="text1"/>
                <w:sz w:val="18"/>
              </w:rPr>
              <w:t>based business mode to decrease the time spent analyzing an EEG and thereby increase billing.</w:t>
            </w:r>
          </w:p>
          <w:p w14:paraId="32993C5D" w14:textId="77777777" w:rsidR="00FE5FDD" w:rsidRDefault="005F39C2" w:rsidP="00983862">
            <w:pPr>
              <w:pStyle w:val="ListParagraph"/>
              <w:numPr>
                <w:ilvl w:val="0"/>
                <w:numId w:val="28"/>
              </w:numPr>
              <w:spacing w:after="60"/>
              <w:ind w:left="288" w:hanging="180"/>
              <w:jc w:val="both"/>
              <w:rPr>
                <w:rFonts w:ascii="Arial" w:eastAsiaTheme="majorEastAsia" w:hAnsi="Arial" w:cs="Arial"/>
                <w:i/>
                <w:iCs/>
                <w:color w:val="000000" w:themeColor="text1"/>
                <w:sz w:val="18"/>
              </w:rPr>
            </w:pPr>
            <w:r w:rsidRPr="00505C3E">
              <w:rPr>
                <w:rFonts w:ascii="Arial" w:hAnsi="Arial" w:cs="Arial"/>
                <w:color w:val="000000" w:themeColor="text1"/>
                <w:sz w:val="18"/>
              </w:rPr>
              <w:t>Allow pharmas to assess changes quantitatively in neural activation during clinical trials.</w:t>
            </w:r>
          </w:p>
          <w:p w14:paraId="3BAD82F8" w14:textId="77777777" w:rsidR="00FE5FDD" w:rsidRDefault="006D1123" w:rsidP="00983862">
            <w:pPr>
              <w:pStyle w:val="ListParagraph"/>
              <w:numPr>
                <w:ilvl w:val="0"/>
                <w:numId w:val="28"/>
              </w:numPr>
              <w:spacing w:after="60"/>
              <w:ind w:left="288" w:hanging="180"/>
              <w:jc w:val="both"/>
              <w:rPr>
                <w:rFonts w:ascii="Arial" w:eastAsiaTheme="majorEastAsia" w:hAnsi="Arial" w:cs="Arial"/>
                <w:i/>
                <w:iCs/>
                <w:color w:val="000000" w:themeColor="text1"/>
                <w:sz w:val="18"/>
              </w:rPr>
            </w:pPr>
            <w:r w:rsidRPr="00505C3E">
              <w:rPr>
                <w:rFonts w:ascii="Arial" w:hAnsi="Arial" w:cs="Arial"/>
                <w:color w:val="000000" w:themeColor="text1"/>
                <w:sz w:val="18"/>
              </w:rPr>
              <w:t>Allow neurologists to order and b</w:t>
            </w:r>
            <w:r w:rsidR="00165CC6" w:rsidRPr="00505C3E">
              <w:rPr>
                <w:rFonts w:ascii="Arial" w:hAnsi="Arial" w:cs="Arial"/>
                <w:color w:val="000000" w:themeColor="text1"/>
                <w:sz w:val="18"/>
              </w:rPr>
              <w:t>ill for substantially more long-</w:t>
            </w:r>
            <w:r w:rsidRPr="00505C3E">
              <w:rPr>
                <w:rFonts w:ascii="Arial" w:hAnsi="Arial" w:cs="Arial"/>
                <w:color w:val="000000" w:themeColor="text1"/>
                <w:sz w:val="18"/>
              </w:rPr>
              <w:t>term monitoring tests based on this proven decision support tool.</w:t>
            </w:r>
          </w:p>
          <w:p w14:paraId="0A862D01" w14:textId="77777777" w:rsidR="00FE5FDD" w:rsidRDefault="006D1123" w:rsidP="00983862">
            <w:pPr>
              <w:pStyle w:val="ListParagraph"/>
              <w:numPr>
                <w:ilvl w:val="0"/>
                <w:numId w:val="28"/>
              </w:numPr>
              <w:spacing w:after="60"/>
              <w:ind w:left="288" w:hanging="180"/>
              <w:jc w:val="both"/>
              <w:rPr>
                <w:rFonts w:ascii="Arial" w:eastAsiaTheme="majorEastAsia" w:hAnsi="Arial" w:cs="Arial"/>
                <w:i/>
                <w:iCs/>
                <w:color w:val="000000" w:themeColor="text1"/>
                <w:sz w:val="18"/>
              </w:rPr>
            </w:pPr>
            <w:r w:rsidRPr="00505C3E">
              <w:rPr>
                <w:rFonts w:ascii="Arial" w:hAnsi="Arial" w:cs="Arial"/>
                <w:color w:val="000000" w:themeColor="text1"/>
                <w:sz w:val="18"/>
              </w:rPr>
              <w:t>Add value to the commodity EEG headsets currently entering the market by providing meaningful, real-time signal analysis.</w:t>
            </w:r>
          </w:p>
          <w:p w14:paraId="587928B9" w14:textId="77777777" w:rsidR="00FE5FDD" w:rsidRDefault="00922516" w:rsidP="00983862">
            <w:pPr>
              <w:spacing w:after="60"/>
              <w:jc w:val="both"/>
              <w:rPr>
                <w:rFonts w:ascii="Arial" w:eastAsiaTheme="majorEastAsia" w:hAnsi="Arial" w:cs="Arial"/>
                <w:i/>
                <w:iCs/>
                <w:color w:val="000000" w:themeColor="text1"/>
                <w:sz w:val="18"/>
              </w:rPr>
            </w:pPr>
            <w:r w:rsidRPr="00505C3E">
              <w:rPr>
                <w:rFonts w:ascii="Arial" w:hAnsi="Arial" w:cs="Arial"/>
                <w:color w:val="000000" w:themeColor="text1"/>
                <w:sz w:val="18"/>
              </w:rPr>
              <w:t>P</w:t>
            </w:r>
            <w:r w:rsidR="00165CC6" w:rsidRPr="00505C3E">
              <w:rPr>
                <w:rFonts w:ascii="Arial" w:hAnsi="Arial" w:cs="Arial"/>
                <w:color w:val="000000" w:themeColor="text1"/>
                <w:sz w:val="18"/>
              </w:rPr>
              <w:t xml:space="preserve">roducts which make similar claims are based on outdated signal processing methods, were trained using small, proprietary datasets and rely on ad hoc, heuristic rules. As a result, such competing products are not used by </w:t>
            </w:r>
            <w:r w:rsidRPr="00505C3E">
              <w:rPr>
                <w:rFonts w:ascii="Arial" w:hAnsi="Arial" w:cs="Arial"/>
                <w:color w:val="000000" w:themeColor="text1"/>
                <w:sz w:val="18"/>
              </w:rPr>
              <w:t>neurologists in clinical settings.</w:t>
            </w:r>
          </w:p>
          <w:p w14:paraId="3B1C253D" w14:textId="77777777" w:rsidR="007D4272" w:rsidRPr="00505C3E" w:rsidRDefault="008F5B29" w:rsidP="008F5B29">
            <w:pPr>
              <w:spacing w:after="60"/>
              <w:jc w:val="both"/>
              <w:rPr>
                <w:rFonts w:ascii="Arial" w:hAnsi="Arial" w:cs="Arial"/>
                <w:color w:val="000000" w:themeColor="text1"/>
                <w:sz w:val="18"/>
                <w:szCs w:val="18"/>
              </w:rPr>
            </w:pPr>
            <w:r w:rsidRPr="00505C3E">
              <w:rPr>
                <w:rFonts w:ascii="Arial" w:hAnsi="Arial" w:cs="Arial"/>
                <w:i/>
                <w:color w:val="000000" w:themeColor="text1"/>
                <w:sz w:val="18"/>
                <w:szCs w:val="18"/>
              </w:rPr>
              <w:t>AutoEEG</w:t>
            </w:r>
            <w:r w:rsidRPr="00505C3E">
              <w:rPr>
                <w:rFonts w:ascii="Arial" w:hAnsi="Arial" w:cs="Arial"/>
                <w:i/>
                <w:iCs/>
                <w:color w:val="000000" w:themeColor="text1"/>
                <w:sz w:val="18"/>
                <w:szCs w:val="18"/>
                <w:vertAlign w:val="superscript"/>
              </w:rPr>
              <w:t>TM</w:t>
            </w:r>
            <w:r w:rsidRPr="00505C3E">
              <w:rPr>
                <w:rFonts w:ascii="Arial" w:hAnsi="Arial" w:cs="Arial"/>
                <w:color w:val="000000" w:themeColor="text1"/>
                <w:sz w:val="18"/>
                <w:szCs w:val="18"/>
              </w:rPr>
              <w:t xml:space="preserve"> </w:t>
            </w:r>
            <w:r w:rsidR="00333F20" w:rsidRPr="00505C3E">
              <w:rPr>
                <w:rFonts w:ascii="Arial" w:hAnsi="Arial" w:cs="Arial"/>
                <w:color w:val="000000" w:themeColor="text1"/>
                <w:sz w:val="18"/>
                <w:szCs w:val="18"/>
              </w:rPr>
              <w:t xml:space="preserve">is based on technology that has been </w:t>
            </w:r>
            <w:r w:rsidR="007D4272" w:rsidRPr="00505C3E">
              <w:rPr>
                <w:rFonts w:ascii="Arial" w:hAnsi="Arial" w:cs="Arial"/>
                <w:color w:val="000000" w:themeColor="text1"/>
                <w:sz w:val="18"/>
                <w:szCs w:val="18"/>
              </w:rPr>
              <w:t xml:space="preserve">successful </w:t>
            </w:r>
            <w:r w:rsidR="00333F20" w:rsidRPr="00505C3E">
              <w:rPr>
                <w:rFonts w:ascii="Arial" w:hAnsi="Arial" w:cs="Arial"/>
                <w:color w:val="000000" w:themeColor="text1"/>
                <w:sz w:val="18"/>
                <w:szCs w:val="18"/>
              </w:rPr>
              <w:t xml:space="preserve">in a </w:t>
            </w:r>
            <w:r w:rsidR="007D4272" w:rsidRPr="00505C3E">
              <w:rPr>
                <w:rFonts w:ascii="Arial" w:hAnsi="Arial" w:cs="Arial"/>
                <w:color w:val="000000" w:themeColor="text1"/>
                <w:sz w:val="18"/>
                <w:szCs w:val="18"/>
              </w:rPr>
              <w:t>wide range of</w:t>
            </w:r>
            <w:r w:rsidR="00333F20" w:rsidRPr="00505C3E">
              <w:rPr>
                <w:rFonts w:ascii="Arial" w:hAnsi="Arial" w:cs="Arial"/>
                <w:color w:val="000000" w:themeColor="text1"/>
                <w:sz w:val="18"/>
                <w:szCs w:val="18"/>
              </w:rPr>
              <w:t xml:space="preserve"> signal processing </w:t>
            </w:r>
            <w:r w:rsidR="007D4272" w:rsidRPr="00505C3E">
              <w:rPr>
                <w:rFonts w:ascii="Arial" w:hAnsi="Arial" w:cs="Arial"/>
                <w:color w:val="000000" w:themeColor="text1"/>
                <w:sz w:val="18"/>
                <w:szCs w:val="18"/>
              </w:rPr>
              <w:t>applications</w:t>
            </w:r>
            <w:r w:rsidR="00333F20" w:rsidRPr="00505C3E">
              <w:rPr>
                <w:rFonts w:ascii="Arial" w:hAnsi="Arial" w:cs="Arial"/>
                <w:color w:val="000000" w:themeColor="text1"/>
                <w:sz w:val="18"/>
                <w:szCs w:val="18"/>
              </w:rPr>
              <w:t xml:space="preserve"> (e.g., speech recognition)</w:t>
            </w:r>
            <w:r w:rsidR="007D4272" w:rsidRPr="00505C3E">
              <w:rPr>
                <w:rFonts w:ascii="Arial" w:hAnsi="Arial" w:cs="Arial"/>
                <w:color w:val="000000" w:themeColor="text1"/>
                <w:sz w:val="18"/>
                <w:szCs w:val="18"/>
              </w:rPr>
              <w:t xml:space="preserve">. </w:t>
            </w:r>
            <w:r w:rsidRPr="00505C3E">
              <w:rPr>
                <w:rFonts w:ascii="Arial" w:hAnsi="Arial" w:cs="Arial"/>
                <w:color w:val="000000" w:themeColor="text1"/>
                <w:sz w:val="18"/>
                <w:szCs w:val="18"/>
              </w:rPr>
              <w:t xml:space="preserve">Emerging markets </w:t>
            </w:r>
            <w:r w:rsidR="007D4272" w:rsidRPr="00505C3E">
              <w:rPr>
                <w:rFonts w:ascii="Arial" w:hAnsi="Arial" w:cs="Arial"/>
                <w:color w:val="000000" w:themeColor="text1"/>
                <w:sz w:val="18"/>
                <w:szCs w:val="18"/>
              </w:rPr>
              <w:t xml:space="preserve">beyond traditional EEG clinical applications include </w:t>
            </w:r>
            <w:r w:rsidRPr="00505C3E">
              <w:rPr>
                <w:rFonts w:ascii="Arial" w:hAnsi="Arial" w:cs="Arial"/>
                <w:color w:val="000000" w:themeColor="text1"/>
                <w:sz w:val="18"/>
                <w:szCs w:val="18"/>
              </w:rPr>
              <w:t>chronic traumatic encephalopathy (e.g., sports-related head injuries and post-traumatic stress disorder), sleep disorders and Alzheimer’s disease. This technology also enables real-time event detection for ambulatory EEG applications.</w:t>
            </w:r>
          </w:p>
          <w:p w14:paraId="41CD5B71" w14:textId="77777777" w:rsidR="00FE5FDD" w:rsidRDefault="00902687" w:rsidP="00983862">
            <w:pPr>
              <w:spacing w:before="120" w:after="60"/>
              <w:jc w:val="both"/>
              <w:rPr>
                <w:rFonts w:ascii="Arial" w:eastAsiaTheme="majorEastAsia" w:hAnsi="Arial" w:cs="Arial"/>
                <w:i/>
                <w:iCs/>
                <w:color w:val="000000" w:themeColor="text1"/>
                <w:sz w:val="18"/>
              </w:rPr>
            </w:pPr>
            <w:r w:rsidRPr="00505C3E">
              <w:rPr>
                <w:rFonts w:ascii="Arial" w:hAnsi="Arial" w:cs="Arial"/>
                <w:b/>
                <w:color w:val="000000" w:themeColor="text1"/>
                <w:sz w:val="18"/>
              </w:rPr>
              <w:t>Uses of Funds: </w:t>
            </w:r>
            <w:r w:rsidR="009472CD" w:rsidRPr="00505C3E">
              <w:rPr>
                <w:rFonts w:ascii="Arial" w:hAnsi="Arial" w:cs="Arial"/>
                <w:color w:val="000000" w:themeColor="text1"/>
                <w:sz w:val="18"/>
              </w:rPr>
              <w:t>The product requires</w:t>
            </w:r>
            <w:r w:rsidR="005D65C5" w:rsidRPr="00505C3E">
              <w:rPr>
                <w:rFonts w:ascii="Arial" w:hAnsi="Arial" w:cs="Arial"/>
                <w:color w:val="000000" w:themeColor="text1"/>
                <w:sz w:val="18"/>
              </w:rPr>
              <w:t xml:space="preserve"> </w:t>
            </w:r>
            <w:r w:rsidR="005F3F50" w:rsidRPr="00505C3E">
              <w:rPr>
                <w:rFonts w:ascii="Arial" w:hAnsi="Arial" w:cs="Arial"/>
                <w:color w:val="000000" w:themeColor="text1"/>
                <w:sz w:val="18"/>
              </w:rPr>
              <w:t xml:space="preserve">$2.2M </w:t>
            </w:r>
            <w:r w:rsidR="0083020C" w:rsidRPr="00505C3E">
              <w:rPr>
                <w:rFonts w:ascii="Arial" w:hAnsi="Arial" w:cs="Arial"/>
                <w:color w:val="000000" w:themeColor="text1"/>
                <w:sz w:val="18"/>
              </w:rPr>
              <w:t xml:space="preserve">in </w:t>
            </w:r>
            <w:r w:rsidR="009B1D07" w:rsidRPr="00505C3E">
              <w:rPr>
                <w:rFonts w:ascii="Arial" w:hAnsi="Arial" w:cs="Arial"/>
                <w:color w:val="000000" w:themeColor="text1"/>
                <w:sz w:val="18"/>
              </w:rPr>
              <w:t xml:space="preserve">funding </w:t>
            </w:r>
            <w:r w:rsidR="008F5B29" w:rsidRPr="00505C3E">
              <w:rPr>
                <w:rFonts w:ascii="Arial" w:hAnsi="Arial" w:cs="Arial"/>
                <w:color w:val="000000" w:themeColor="text1"/>
                <w:sz w:val="18"/>
                <w:szCs w:val="18"/>
              </w:rPr>
              <w:t xml:space="preserve">over the next two years for </w:t>
            </w:r>
            <w:r w:rsidR="008F5B29" w:rsidRPr="00505C3E">
              <w:rPr>
                <w:rFonts w:ascii="Arial" w:hAnsi="Arial" w:cs="Arial"/>
                <w:color w:val="000000" w:themeColor="text1"/>
                <w:sz w:val="18"/>
              </w:rPr>
              <w:t xml:space="preserve">research </w:t>
            </w:r>
            <w:r w:rsidR="008F5B29" w:rsidRPr="00505C3E">
              <w:rPr>
                <w:rFonts w:ascii="Arial" w:hAnsi="Arial" w:cs="Arial"/>
                <w:color w:val="000000" w:themeColor="text1"/>
                <w:sz w:val="18"/>
                <w:szCs w:val="18"/>
              </w:rPr>
              <w:t xml:space="preserve">and development </w:t>
            </w:r>
            <w:r w:rsidR="009B1D07" w:rsidRPr="00505C3E">
              <w:rPr>
                <w:rFonts w:ascii="Arial" w:hAnsi="Arial" w:cs="Arial"/>
                <w:color w:val="000000" w:themeColor="text1"/>
                <w:sz w:val="18"/>
              </w:rPr>
              <w:t>necessary for commercialization</w:t>
            </w:r>
            <w:r w:rsidR="003B3159" w:rsidRPr="00505C3E">
              <w:rPr>
                <w:rFonts w:ascii="Arial" w:hAnsi="Arial" w:cs="Arial"/>
                <w:color w:val="000000" w:themeColor="text1"/>
                <w:sz w:val="18"/>
              </w:rPr>
              <w:t xml:space="preserve">. The </w:t>
            </w:r>
            <w:r w:rsidR="008F5B29" w:rsidRPr="00505C3E">
              <w:rPr>
                <w:rFonts w:ascii="Arial" w:hAnsi="Arial" w:cs="Arial"/>
                <w:color w:val="000000" w:themeColor="text1"/>
                <w:sz w:val="18"/>
                <w:szCs w:val="18"/>
              </w:rPr>
              <w:t>project</w:t>
            </w:r>
            <w:r w:rsidR="008F5B29" w:rsidRPr="00505C3E">
              <w:rPr>
                <w:rFonts w:ascii="Arial" w:hAnsi="Arial" w:cs="Arial"/>
                <w:color w:val="000000" w:themeColor="text1"/>
                <w:sz w:val="18"/>
              </w:rPr>
              <w:t xml:space="preserve"> will </w:t>
            </w:r>
            <w:r w:rsidR="008F5B29" w:rsidRPr="00505C3E">
              <w:rPr>
                <w:rFonts w:ascii="Arial" w:hAnsi="Arial" w:cs="Arial"/>
                <w:color w:val="000000" w:themeColor="text1"/>
                <w:sz w:val="18"/>
                <w:szCs w:val="18"/>
              </w:rPr>
              <w:t xml:space="preserve">consist of </w:t>
            </w:r>
            <w:r w:rsidR="008F5B29" w:rsidRPr="00505C3E">
              <w:rPr>
                <w:rFonts w:ascii="Arial" w:hAnsi="Arial" w:cs="Arial"/>
                <w:color w:val="000000" w:themeColor="text1"/>
                <w:sz w:val="18"/>
              </w:rPr>
              <w:t>three phases</w:t>
            </w:r>
          </w:p>
          <w:p w14:paraId="7E39E66C" w14:textId="77777777" w:rsidR="00FE5FDD" w:rsidRDefault="009B1D07" w:rsidP="00983862">
            <w:pPr>
              <w:spacing w:before="60" w:after="60"/>
              <w:ind w:left="302" w:hanging="187"/>
              <w:jc w:val="both"/>
              <w:rPr>
                <w:rFonts w:ascii="Arial" w:eastAsiaTheme="majorEastAsia" w:hAnsi="Arial" w:cs="Arial"/>
                <w:i/>
                <w:iCs/>
                <w:color w:val="000000" w:themeColor="text1"/>
                <w:sz w:val="18"/>
              </w:rPr>
            </w:pPr>
            <w:r w:rsidRPr="00505C3E">
              <w:rPr>
                <w:rFonts w:ascii="Arial" w:hAnsi="Arial" w:cs="Arial"/>
                <w:i/>
                <w:color w:val="000000" w:themeColor="text1"/>
                <w:sz w:val="18"/>
                <w:u w:val="single"/>
              </w:rPr>
              <w:t>Phase I</w:t>
            </w:r>
            <w:r w:rsidR="00B01A4B" w:rsidRPr="00505C3E">
              <w:rPr>
                <w:rFonts w:ascii="Arial" w:hAnsi="Arial" w:cs="Arial"/>
                <w:i/>
                <w:color w:val="000000" w:themeColor="text1"/>
                <w:sz w:val="18"/>
                <w:u w:val="single"/>
              </w:rPr>
              <w:t xml:space="preserve"> (75% Complete)</w:t>
            </w:r>
          </w:p>
          <w:p w14:paraId="0E49BE6A" w14:textId="77777777" w:rsidR="00FE5FDD" w:rsidRDefault="00D51864"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S</w:t>
            </w:r>
            <w:r w:rsidR="009B1D07" w:rsidRPr="00505C3E">
              <w:rPr>
                <w:rFonts w:ascii="Arial" w:hAnsi="Arial" w:cs="Arial"/>
                <w:color w:val="000000" w:themeColor="text1"/>
                <w:sz w:val="18"/>
              </w:rPr>
              <w:t>oftware Layer One to detect spikes of interest in the EEG within 95% accuracy</w:t>
            </w:r>
          </w:p>
          <w:p w14:paraId="3E1AA1AE" w14:textId="77777777" w:rsidR="00FE5FDD" w:rsidRDefault="00D51864"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G</w:t>
            </w:r>
            <w:r w:rsidR="00FF485E" w:rsidRPr="00505C3E">
              <w:rPr>
                <w:rFonts w:ascii="Arial" w:hAnsi="Arial" w:cs="Arial"/>
                <w:color w:val="000000" w:themeColor="text1"/>
                <w:sz w:val="18"/>
              </w:rPr>
              <w:t>raphical front end software to facilitate customer demonstrations.</w:t>
            </w:r>
          </w:p>
          <w:p w14:paraId="1EB95A64" w14:textId="77777777" w:rsidR="00FE5FDD" w:rsidRDefault="005F3F50"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 xml:space="preserve">Collection of user requirements, including </w:t>
            </w:r>
            <w:r w:rsidR="00FF485E" w:rsidRPr="00505C3E">
              <w:rPr>
                <w:rFonts w:ascii="Arial" w:hAnsi="Arial" w:cs="Arial"/>
                <w:color w:val="000000" w:themeColor="text1"/>
                <w:sz w:val="18"/>
              </w:rPr>
              <w:t>feedback on spike detection accuracy</w:t>
            </w:r>
            <w:r w:rsidRPr="00505C3E">
              <w:rPr>
                <w:rFonts w:ascii="Arial" w:hAnsi="Arial" w:cs="Arial"/>
                <w:color w:val="000000" w:themeColor="text1"/>
                <w:sz w:val="18"/>
              </w:rPr>
              <w:t>.</w:t>
            </w:r>
          </w:p>
          <w:p w14:paraId="47CD816C" w14:textId="77777777" w:rsidR="00FE5FDD" w:rsidRDefault="00FF485E" w:rsidP="00983862">
            <w:pPr>
              <w:spacing w:before="60" w:after="60"/>
              <w:ind w:left="302" w:hanging="187"/>
              <w:jc w:val="both"/>
              <w:rPr>
                <w:rFonts w:ascii="Arial" w:eastAsiaTheme="majorEastAsia" w:hAnsi="Arial" w:cs="Arial"/>
                <w:i/>
                <w:iCs/>
                <w:color w:val="000000" w:themeColor="text1"/>
                <w:sz w:val="18"/>
                <w:u w:val="single"/>
              </w:rPr>
            </w:pPr>
            <w:r w:rsidRPr="00505C3E">
              <w:rPr>
                <w:rFonts w:ascii="Arial" w:hAnsi="Arial" w:cs="Arial"/>
                <w:i/>
                <w:color w:val="000000" w:themeColor="text1"/>
                <w:sz w:val="18"/>
                <w:u w:val="single"/>
              </w:rPr>
              <w:t>Phase 2 (2015Q1 – 2015Q4)</w:t>
            </w:r>
          </w:p>
          <w:p w14:paraId="31EAF6EF" w14:textId="77777777" w:rsidR="00FE5FDD" w:rsidRDefault="00D51864"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S</w:t>
            </w:r>
            <w:r w:rsidR="00FF485E" w:rsidRPr="00505C3E">
              <w:rPr>
                <w:rFonts w:ascii="Arial" w:hAnsi="Arial" w:cs="Arial"/>
                <w:color w:val="000000" w:themeColor="text1"/>
                <w:sz w:val="18"/>
              </w:rPr>
              <w:t xml:space="preserve">oftware Layer Two </w:t>
            </w:r>
            <w:r w:rsidR="00DB443C" w:rsidRPr="00505C3E">
              <w:rPr>
                <w:rFonts w:ascii="Arial" w:hAnsi="Arial" w:cs="Arial"/>
                <w:color w:val="000000" w:themeColor="text1"/>
                <w:sz w:val="18"/>
              </w:rPr>
              <w:t xml:space="preserve">based on deep learning to </w:t>
            </w:r>
            <w:r w:rsidR="00FF485E" w:rsidRPr="00505C3E">
              <w:rPr>
                <w:rFonts w:ascii="Arial" w:hAnsi="Arial" w:cs="Arial"/>
                <w:color w:val="000000" w:themeColor="text1"/>
                <w:sz w:val="18"/>
              </w:rPr>
              <w:t>suggest diagnoses</w:t>
            </w:r>
            <w:r w:rsidR="00DB443C" w:rsidRPr="00505C3E">
              <w:rPr>
                <w:rFonts w:ascii="Arial" w:hAnsi="Arial" w:cs="Arial"/>
                <w:color w:val="000000" w:themeColor="text1"/>
                <w:sz w:val="18"/>
              </w:rPr>
              <w:t xml:space="preserve"> (5% complete).</w:t>
            </w:r>
          </w:p>
          <w:p w14:paraId="1E0FFB7A" w14:textId="77777777" w:rsidR="00FE5FDD" w:rsidRDefault="00DB443C"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Expand alpha testing to multiple sites and initiate beta testing as customer sites.</w:t>
            </w:r>
          </w:p>
          <w:p w14:paraId="662F4A30" w14:textId="77777777" w:rsidR="00FE5FDD" w:rsidRDefault="00DB443C"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Address cross-platform development and run-time efficiency.</w:t>
            </w:r>
          </w:p>
          <w:p w14:paraId="3F3E0F98" w14:textId="77777777" w:rsidR="00FE5FDD" w:rsidRDefault="00FF485E" w:rsidP="00983862">
            <w:pPr>
              <w:spacing w:before="60" w:after="60"/>
              <w:ind w:left="302" w:hanging="187"/>
              <w:jc w:val="both"/>
              <w:rPr>
                <w:rFonts w:ascii="Arial" w:eastAsiaTheme="majorEastAsia" w:hAnsi="Arial" w:cs="Arial"/>
                <w:i/>
                <w:iCs/>
                <w:color w:val="000000" w:themeColor="text1"/>
                <w:sz w:val="18"/>
                <w:u w:val="single"/>
              </w:rPr>
            </w:pPr>
            <w:r w:rsidRPr="00505C3E">
              <w:rPr>
                <w:rFonts w:ascii="Arial" w:hAnsi="Arial" w:cs="Arial"/>
                <w:i/>
                <w:color w:val="000000" w:themeColor="text1"/>
                <w:sz w:val="18"/>
                <w:u w:val="single"/>
              </w:rPr>
              <w:t>Phase 3 (2016Q1 – 2017Q2)</w:t>
            </w:r>
          </w:p>
          <w:p w14:paraId="4AE9133C" w14:textId="77777777" w:rsidR="00FE5FDD" w:rsidRDefault="00FF485E"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 xml:space="preserve">Create </w:t>
            </w:r>
            <w:r w:rsidR="00DB443C" w:rsidRPr="00505C3E">
              <w:rPr>
                <w:rFonts w:ascii="Arial" w:hAnsi="Arial" w:cs="Arial"/>
                <w:color w:val="000000" w:themeColor="text1"/>
                <w:sz w:val="18"/>
              </w:rPr>
              <w:t xml:space="preserve">production </w:t>
            </w:r>
            <w:r w:rsidRPr="00505C3E">
              <w:rPr>
                <w:rFonts w:ascii="Arial" w:hAnsi="Arial" w:cs="Arial"/>
                <w:color w:val="000000" w:themeColor="text1"/>
                <w:sz w:val="18"/>
              </w:rPr>
              <w:t>software</w:t>
            </w:r>
            <w:r w:rsidR="00DB443C" w:rsidRPr="00505C3E">
              <w:rPr>
                <w:rFonts w:ascii="Arial" w:hAnsi="Arial" w:cs="Arial"/>
                <w:color w:val="000000" w:themeColor="text1"/>
                <w:sz w:val="18"/>
              </w:rPr>
              <w:t xml:space="preserve"> that supports all major computing platforms.</w:t>
            </w:r>
          </w:p>
          <w:p w14:paraId="6A93B68B" w14:textId="77777777" w:rsidR="00FE5FDD" w:rsidRDefault="00DB443C"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rPr>
            </w:pPr>
            <w:r w:rsidRPr="00505C3E">
              <w:rPr>
                <w:rFonts w:ascii="Arial" w:hAnsi="Arial" w:cs="Arial"/>
                <w:color w:val="000000" w:themeColor="text1"/>
                <w:sz w:val="18"/>
              </w:rPr>
              <w:t>Refactor code for run-time efficiency and vendor integration.</w:t>
            </w:r>
          </w:p>
          <w:p w14:paraId="3FCED2DB" w14:textId="77777777" w:rsidR="00FE5FDD" w:rsidRDefault="00DB443C" w:rsidP="00983862">
            <w:pPr>
              <w:pStyle w:val="ListParagraph"/>
              <w:numPr>
                <w:ilvl w:val="0"/>
                <w:numId w:val="24"/>
              </w:numPr>
              <w:ind w:left="302" w:hanging="187"/>
              <w:contextualSpacing w:val="0"/>
              <w:jc w:val="both"/>
              <w:rPr>
                <w:rFonts w:ascii="Arial" w:eastAsiaTheme="majorEastAsia" w:hAnsi="Arial" w:cs="Arial"/>
                <w:i/>
                <w:iCs/>
                <w:color w:val="000000" w:themeColor="text1"/>
                <w:sz w:val="18"/>
                <w:szCs w:val="18"/>
              </w:rPr>
            </w:pPr>
            <w:r w:rsidRPr="00505C3E">
              <w:rPr>
                <w:rFonts w:ascii="Arial" w:hAnsi="Arial" w:cs="Arial"/>
                <w:color w:val="000000" w:themeColor="text1"/>
                <w:sz w:val="18"/>
              </w:rPr>
              <w:t>Develop mobile platform support based on customer needs.</w:t>
            </w:r>
          </w:p>
        </w:tc>
      </w:tr>
    </w:tbl>
    <w:p w14:paraId="382676E3" w14:textId="77777777" w:rsidR="00604FA7" w:rsidRPr="00505C3E" w:rsidRDefault="00604FA7" w:rsidP="008F5B29">
      <w:pPr>
        <w:rPr>
          <w:rFonts w:ascii="Arial" w:hAnsi="Arial" w:cs="Arial"/>
        </w:rPr>
      </w:pPr>
    </w:p>
    <w:sectPr w:rsidR="00604FA7" w:rsidRPr="00505C3E" w:rsidSect="002D6EDC">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CC9"/>
    <w:multiLevelType w:val="hybridMultilevel"/>
    <w:tmpl w:val="41EC8A96"/>
    <w:lvl w:ilvl="0" w:tplc="04090001">
      <w:start w:val="1"/>
      <w:numFmt w:val="bullet"/>
      <w:lvlText w:val=""/>
      <w:lvlJc w:val="left"/>
      <w:pPr>
        <w:ind w:left="378" w:hanging="360"/>
      </w:pPr>
      <w:rPr>
        <w:rFonts w:ascii="Symbol" w:hAnsi="Symbol" w:hint="default"/>
      </w:rPr>
    </w:lvl>
    <w:lvl w:ilvl="1" w:tplc="0BC4D9EA">
      <w:start w:val="3"/>
      <w:numFmt w:val="bullet"/>
      <w:lvlText w:val="•"/>
      <w:lvlJc w:val="left"/>
      <w:pPr>
        <w:ind w:left="1098" w:hanging="360"/>
      </w:pPr>
      <w:rPr>
        <w:rFonts w:ascii="Calibri" w:eastAsia="Times New Roman" w:hAnsi="Calibri" w:cs="Aria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B9500C8"/>
    <w:multiLevelType w:val="hybridMultilevel"/>
    <w:tmpl w:val="C58C391C"/>
    <w:lvl w:ilvl="0" w:tplc="1BB8C166">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C0F1B"/>
    <w:multiLevelType w:val="hybridMultilevel"/>
    <w:tmpl w:val="60782F84"/>
    <w:lvl w:ilvl="0" w:tplc="27E4CF5A">
      <w:start w:val="1"/>
      <w:numFmt w:val="decimal"/>
      <w:lvlText w:val="%1."/>
      <w:lvlJc w:val="left"/>
      <w:pPr>
        <w:ind w:left="360" w:hanging="360"/>
      </w:pPr>
      <w:rPr>
        <w:rFonts w:hint="default"/>
        <w:color w:val="17365D" w:themeColor="text2" w:themeShade="BF"/>
      </w:rPr>
    </w:lvl>
    <w:lvl w:ilvl="1" w:tplc="0409000F">
      <w:start w:val="1"/>
      <w:numFmt w:val="decimal"/>
      <w:lvlText w:val="%2."/>
      <w:lvlJc w:val="left"/>
      <w:pPr>
        <w:ind w:left="1080" w:hanging="360"/>
      </w:pPr>
      <w:rPr>
        <w:rFonts w:hint="default"/>
      </w:rPr>
    </w:lvl>
    <w:lvl w:ilvl="2" w:tplc="F438B0C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F1646"/>
    <w:multiLevelType w:val="hybridMultilevel"/>
    <w:tmpl w:val="691A68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nsid w:val="313D2A89"/>
    <w:multiLevelType w:val="hybridMultilevel"/>
    <w:tmpl w:val="2690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287D13"/>
    <w:multiLevelType w:val="hybridMultilevel"/>
    <w:tmpl w:val="403A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646028"/>
    <w:multiLevelType w:val="hybridMultilevel"/>
    <w:tmpl w:val="4894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DC726E"/>
    <w:multiLevelType w:val="hybridMultilevel"/>
    <w:tmpl w:val="929256F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46E455E0"/>
    <w:multiLevelType w:val="hybridMultilevel"/>
    <w:tmpl w:val="8822E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3414DC"/>
    <w:multiLevelType w:val="hybridMultilevel"/>
    <w:tmpl w:val="02E463BA"/>
    <w:lvl w:ilvl="0" w:tplc="3D7633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D34DBE"/>
    <w:multiLevelType w:val="hybridMultilevel"/>
    <w:tmpl w:val="37B6C9EA"/>
    <w:lvl w:ilvl="0" w:tplc="04090001">
      <w:start w:val="1"/>
      <w:numFmt w:val="bullet"/>
      <w:lvlText w:val=""/>
      <w:lvlJc w:val="left"/>
      <w:pPr>
        <w:ind w:left="360" w:hanging="360"/>
      </w:pPr>
      <w:rPr>
        <w:rFonts w:ascii="Symbol" w:hAnsi="Symbol" w:hint="default"/>
      </w:rPr>
    </w:lvl>
    <w:lvl w:ilvl="1" w:tplc="3D7633E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024D6C"/>
    <w:multiLevelType w:val="hybridMultilevel"/>
    <w:tmpl w:val="DF987BBA"/>
    <w:lvl w:ilvl="0" w:tplc="326A6C2A">
      <w:start w:val="1"/>
      <w:numFmt w:val="bullet"/>
      <w:lvlText w:val=""/>
      <w:lvlJc w:val="left"/>
      <w:pPr>
        <w:ind w:left="1080" w:hanging="360"/>
      </w:pPr>
      <w:rPr>
        <w:rFonts w:ascii="Symbol" w:hAnsi="Symbol" w:hint="default"/>
        <w:color w:val="365F91"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BE254C"/>
    <w:multiLevelType w:val="hybridMultilevel"/>
    <w:tmpl w:val="175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647AC"/>
    <w:multiLevelType w:val="hybridMultilevel"/>
    <w:tmpl w:val="AAC0F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31703"/>
    <w:multiLevelType w:val="hybridMultilevel"/>
    <w:tmpl w:val="0B202C6A"/>
    <w:lvl w:ilvl="0" w:tplc="326A6C2A">
      <w:start w:val="1"/>
      <w:numFmt w:val="bullet"/>
      <w:lvlText w:val=""/>
      <w:lvlJc w:val="left"/>
      <w:pPr>
        <w:ind w:left="353" w:hanging="360"/>
      </w:pPr>
      <w:rPr>
        <w:rFonts w:ascii="Symbol" w:hAnsi="Symbol" w:hint="default"/>
        <w:color w:val="365F91" w:themeColor="accent1" w:themeShade="BF"/>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nsid w:val="676B3D32"/>
    <w:multiLevelType w:val="hybridMultilevel"/>
    <w:tmpl w:val="73E0E5B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nsid w:val="67F207D6"/>
    <w:multiLevelType w:val="hybridMultilevel"/>
    <w:tmpl w:val="9A7275D0"/>
    <w:lvl w:ilvl="0" w:tplc="326A6C2A">
      <w:start w:val="1"/>
      <w:numFmt w:val="bullet"/>
      <w:lvlText w:val=""/>
      <w:lvlJc w:val="left"/>
      <w:pPr>
        <w:ind w:left="378" w:hanging="360"/>
      </w:pPr>
      <w:rPr>
        <w:rFonts w:ascii="Symbol" w:hAnsi="Symbol" w:hint="default"/>
        <w:color w:val="365F91" w:themeColor="accent1" w:themeShade="BF"/>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nsid w:val="6A034CAC"/>
    <w:multiLevelType w:val="hybridMultilevel"/>
    <w:tmpl w:val="A950D44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8">
    <w:nsid w:val="6C251826"/>
    <w:multiLevelType w:val="hybridMultilevel"/>
    <w:tmpl w:val="6088A87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9">
    <w:nsid w:val="6C513975"/>
    <w:multiLevelType w:val="hybridMultilevel"/>
    <w:tmpl w:val="FFEEE2E6"/>
    <w:lvl w:ilvl="0" w:tplc="E6A02CCC">
      <w:start w:val="1"/>
      <w:numFmt w:val="bullet"/>
      <w:pStyle w:val="Bullet3"/>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6D1051F6"/>
    <w:multiLevelType w:val="hybridMultilevel"/>
    <w:tmpl w:val="FED604BE"/>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1">
    <w:nsid w:val="78DF56EF"/>
    <w:multiLevelType w:val="hybridMultilevel"/>
    <w:tmpl w:val="94560EC8"/>
    <w:lvl w:ilvl="0" w:tplc="B1883F2C">
      <w:start w:val="1"/>
      <w:numFmt w:val="bullet"/>
      <w:lvlText w:val=""/>
      <w:lvlJc w:val="left"/>
      <w:pPr>
        <w:ind w:left="353" w:hanging="360"/>
      </w:pPr>
      <w:rPr>
        <w:rFonts w:ascii="Symbol" w:hAnsi="Symbol" w:hint="default"/>
        <w:color w:val="auto"/>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2">
    <w:nsid w:val="790E5458"/>
    <w:multiLevelType w:val="hybridMultilevel"/>
    <w:tmpl w:val="11F67BA0"/>
    <w:lvl w:ilvl="0" w:tplc="326A6C2A">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C22795"/>
    <w:multiLevelType w:val="hybridMultilevel"/>
    <w:tmpl w:val="862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A5BCF"/>
    <w:multiLevelType w:val="hybridMultilevel"/>
    <w:tmpl w:val="D03E8122"/>
    <w:lvl w:ilvl="0" w:tplc="04090001">
      <w:start w:val="1"/>
      <w:numFmt w:val="bullet"/>
      <w:lvlText w:val=""/>
      <w:lvlJc w:val="left"/>
      <w:pPr>
        <w:ind w:left="360" w:hanging="360"/>
      </w:pPr>
      <w:rPr>
        <w:rFonts w:ascii="Symbol" w:hAnsi="Symbol" w:hint="default"/>
        <w:color w:val="17365D" w:themeColor="text2" w:themeShade="BF"/>
      </w:rPr>
    </w:lvl>
    <w:lvl w:ilvl="1" w:tplc="0409000F">
      <w:start w:val="1"/>
      <w:numFmt w:val="decimal"/>
      <w:lvlText w:val="%2."/>
      <w:lvlJc w:val="left"/>
      <w:pPr>
        <w:ind w:left="1080" w:hanging="360"/>
      </w:pPr>
      <w:rPr>
        <w:rFonts w:hint="default"/>
      </w:rPr>
    </w:lvl>
    <w:lvl w:ilvl="2" w:tplc="F438B0C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E80FC4"/>
    <w:multiLevelType w:val="hybridMultilevel"/>
    <w:tmpl w:val="79704738"/>
    <w:lvl w:ilvl="0" w:tplc="C6EAA768">
      <w:start w:val="1"/>
      <w:numFmt w:val="bullet"/>
      <w:pStyle w:val="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1"/>
  </w:num>
  <w:num w:numId="5">
    <w:abstractNumId w:val="1"/>
  </w:num>
  <w:num w:numId="6">
    <w:abstractNumId w:val="1"/>
  </w:num>
  <w:num w:numId="7">
    <w:abstractNumId w:val="19"/>
  </w:num>
  <w:num w:numId="8">
    <w:abstractNumId w:val="19"/>
  </w:num>
  <w:num w:numId="9">
    <w:abstractNumId w:val="19"/>
  </w:num>
  <w:num w:numId="10">
    <w:abstractNumId w:val="25"/>
  </w:num>
  <w:num w:numId="11">
    <w:abstractNumId w:val="25"/>
  </w:num>
  <w:num w:numId="12">
    <w:abstractNumId w:val="25"/>
  </w:num>
  <w:num w:numId="13">
    <w:abstractNumId w:val="10"/>
  </w:num>
  <w:num w:numId="14">
    <w:abstractNumId w:val="9"/>
  </w:num>
  <w:num w:numId="15">
    <w:abstractNumId w:val="13"/>
  </w:num>
  <w:num w:numId="16">
    <w:abstractNumId w:val="12"/>
  </w:num>
  <w:num w:numId="17">
    <w:abstractNumId w:val="15"/>
  </w:num>
  <w:num w:numId="18">
    <w:abstractNumId w:val="17"/>
  </w:num>
  <w:num w:numId="19">
    <w:abstractNumId w:val="7"/>
  </w:num>
  <w:num w:numId="20">
    <w:abstractNumId w:val="18"/>
  </w:num>
  <w:num w:numId="21">
    <w:abstractNumId w:val="23"/>
  </w:num>
  <w:num w:numId="22">
    <w:abstractNumId w:val="8"/>
  </w:num>
  <w:num w:numId="23">
    <w:abstractNumId w:val="4"/>
  </w:num>
  <w:num w:numId="24">
    <w:abstractNumId w:val="6"/>
  </w:num>
  <w:num w:numId="25">
    <w:abstractNumId w:val="2"/>
  </w:num>
  <w:num w:numId="26">
    <w:abstractNumId w:val="5"/>
  </w:num>
  <w:num w:numId="27">
    <w:abstractNumId w:val="3"/>
  </w:num>
  <w:num w:numId="28">
    <w:abstractNumId w:val="0"/>
  </w:num>
  <w:num w:numId="29">
    <w:abstractNumId w:val="16"/>
  </w:num>
  <w:num w:numId="30">
    <w:abstractNumId w:val="14"/>
  </w:num>
  <w:num w:numId="31">
    <w:abstractNumId w:val="11"/>
  </w:num>
  <w:num w:numId="32">
    <w:abstractNumId w:val="22"/>
  </w:num>
  <w:num w:numId="33">
    <w:abstractNumId w:val="2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0"/>
    <w:rsid w:val="00012ACF"/>
    <w:rsid w:val="000140F0"/>
    <w:rsid w:val="00015D8C"/>
    <w:rsid w:val="00020C81"/>
    <w:rsid w:val="00022B6F"/>
    <w:rsid w:val="00025D5E"/>
    <w:rsid w:val="00030C0C"/>
    <w:rsid w:val="00030C9B"/>
    <w:rsid w:val="00036F0F"/>
    <w:rsid w:val="0005176C"/>
    <w:rsid w:val="00057FF9"/>
    <w:rsid w:val="00063891"/>
    <w:rsid w:val="000639B1"/>
    <w:rsid w:val="00065654"/>
    <w:rsid w:val="00072B86"/>
    <w:rsid w:val="00086A02"/>
    <w:rsid w:val="00096026"/>
    <w:rsid w:val="0009658B"/>
    <w:rsid w:val="000A67DD"/>
    <w:rsid w:val="000B19A9"/>
    <w:rsid w:val="000B1D9C"/>
    <w:rsid w:val="000B29AD"/>
    <w:rsid w:val="000B2CF6"/>
    <w:rsid w:val="000B5A94"/>
    <w:rsid w:val="000B7962"/>
    <w:rsid w:val="000C3AEB"/>
    <w:rsid w:val="000D1BB7"/>
    <w:rsid w:val="000D7945"/>
    <w:rsid w:val="000F554E"/>
    <w:rsid w:val="00102956"/>
    <w:rsid w:val="00103DE4"/>
    <w:rsid w:val="001113F6"/>
    <w:rsid w:val="00114E86"/>
    <w:rsid w:val="0012448D"/>
    <w:rsid w:val="00125F77"/>
    <w:rsid w:val="00131480"/>
    <w:rsid w:val="00141CD8"/>
    <w:rsid w:val="00157F96"/>
    <w:rsid w:val="00161DF5"/>
    <w:rsid w:val="00162F55"/>
    <w:rsid w:val="00165CC6"/>
    <w:rsid w:val="00173F54"/>
    <w:rsid w:val="00182670"/>
    <w:rsid w:val="00186FB0"/>
    <w:rsid w:val="0018724F"/>
    <w:rsid w:val="00187571"/>
    <w:rsid w:val="00187792"/>
    <w:rsid w:val="001954E0"/>
    <w:rsid w:val="0019595F"/>
    <w:rsid w:val="00197BF5"/>
    <w:rsid w:val="001A0542"/>
    <w:rsid w:val="001A6193"/>
    <w:rsid w:val="001B41F7"/>
    <w:rsid w:val="001C37BD"/>
    <w:rsid w:val="001C579E"/>
    <w:rsid w:val="001C7C58"/>
    <w:rsid w:val="001D0678"/>
    <w:rsid w:val="001E2C0A"/>
    <w:rsid w:val="001F34DD"/>
    <w:rsid w:val="002005A6"/>
    <w:rsid w:val="002216E8"/>
    <w:rsid w:val="00222880"/>
    <w:rsid w:val="00226143"/>
    <w:rsid w:val="00251868"/>
    <w:rsid w:val="002528D3"/>
    <w:rsid w:val="002568CE"/>
    <w:rsid w:val="00264560"/>
    <w:rsid w:val="002813DC"/>
    <w:rsid w:val="00281D11"/>
    <w:rsid w:val="00282672"/>
    <w:rsid w:val="00282A83"/>
    <w:rsid w:val="00285AB1"/>
    <w:rsid w:val="002910A7"/>
    <w:rsid w:val="00293C3F"/>
    <w:rsid w:val="002A4EB7"/>
    <w:rsid w:val="002A5784"/>
    <w:rsid w:val="002B5C74"/>
    <w:rsid w:val="002C206C"/>
    <w:rsid w:val="002C4778"/>
    <w:rsid w:val="002C7A78"/>
    <w:rsid w:val="002D4CE0"/>
    <w:rsid w:val="002D4F57"/>
    <w:rsid w:val="002D4FE3"/>
    <w:rsid w:val="002D56F2"/>
    <w:rsid w:val="002D6EDC"/>
    <w:rsid w:val="002E3E1C"/>
    <w:rsid w:val="002E55FC"/>
    <w:rsid w:val="002F01F5"/>
    <w:rsid w:val="002F1009"/>
    <w:rsid w:val="002F3437"/>
    <w:rsid w:val="002F5571"/>
    <w:rsid w:val="002F7177"/>
    <w:rsid w:val="00300A06"/>
    <w:rsid w:val="00300F65"/>
    <w:rsid w:val="003073EF"/>
    <w:rsid w:val="00311458"/>
    <w:rsid w:val="00311DCE"/>
    <w:rsid w:val="0032026E"/>
    <w:rsid w:val="00333F20"/>
    <w:rsid w:val="003356A9"/>
    <w:rsid w:val="00335CCF"/>
    <w:rsid w:val="0033682E"/>
    <w:rsid w:val="003379B7"/>
    <w:rsid w:val="00337EBF"/>
    <w:rsid w:val="00341509"/>
    <w:rsid w:val="00362BC0"/>
    <w:rsid w:val="00370210"/>
    <w:rsid w:val="00370E85"/>
    <w:rsid w:val="00371DCF"/>
    <w:rsid w:val="003740A5"/>
    <w:rsid w:val="00391659"/>
    <w:rsid w:val="00391885"/>
    <w:rsid w:val="00392BCB"/>
    <w:rsid w:val="0039690E"/>
    <w:rsid w:val="003A4091"/>
    <w:rsid w:val="003A5383"/>
    <w:rsid w:val="003A746A"/>
    <w:rsid w:val="003B1C14"/>
    <w:rsid w:val="003B3159"/>
    <w:rsid w:val="003B77B6"/>
    <w:rsid w:val="003C0A7F"/>
    <w:rsid w:val="003C3155"/>
    <w:rsid w:val="003D05BD"/>
    <w:rsid w:val="003D59A8"/>
    <w:rsid w:val="003E0A8B"/>
    <w:rsid w:val="003E3FB1"/>
    <w:rsid w:val="003E543B"/>
    <w:rsid w:val="003F0AEB"/>
    <w:rsid w:val="003F18C4"/>
    <w:rsid w:val="003F2E9D"/>
    <w:rsid w:val="00402B01"/>
    <w:rsid w:val="00402F39"/>
    <w:rsid w:val="004034EE"/>
    <w:rsid w:val="00405733"/>
    <w:rsid w:val="00406F56"/>
    <w:rsid w:val="00410C5C"/>
    <w:rsid w:val="00412641"/>
    <w:rsid w:val="00422CD0"/>
    <w:rsid w:val="00425781"/>
    <w:rsid w:val="0042595E"/>
    <w:rsid w:val="00426952"/>
    <w:rsid w:val="004410D5"/>
    <w:rsid w:val="0044205A"/>
    <w:rsid w:val="00443632"/>
    <w:rsid w:val="00454058"/>
    <w:rsid w:val="004546FC"/>
    <w:rsid w:val="0045762D"/>
    <w:rsid w:val="00472701"/>
    <w:rsid w:val="00474CBA"/>
    <w:rsid w:val="00476CE0"/>
    <w:rsid w:val="00482957"/>
    <w:rsid w:val="004A22BD"/>
    <w:rsid w:val="004B04F5"/>
    <w:rsid w:val="004B7E78"/>
    <w:rsid w:val="004C4813"/>
    <w:rsid w:val="004C4A65"/>
    <w:rsid w:val="004D0C79"/>
    <w:rsid w:val="004D330A"/>
    <w:rsid w:val="004E6DAA"/>
    <w:rsid w:val="004F16C7"/>
    <w:rsid w:val="004F6C3C"/>
    <w:rsid w:val="005022A3"/>
    <w:rsid w:val="0050537A"/>
    <w:rsid w:val="00505C3E"/>
    <w:rsid w:val="00505D63"/>
    <w:rsid w:val="0052721B"/>
    <w:rsid w:val="00531215"/>
    <w:rsid w:val="00532186"/>
    <w:rsid w:val="00533DED"/>
    <w:rsid w:val="0053757C"/>
    <w:rsid w:val="00543C63"/>
    <w:rsid w:val="00544AF2"/>
    <w:rsid w:val="0055016E"/>
    <w:rsid w:val="00561AB7"/>
    <w:rsid w:val="00563190"/>
    <w:rsid w:val="00563CBD"/>
    <w:rsid w:val="0056491C"/>
    <w:rsid w:val="0058392F"/>
    <w:rsid w:val="00584357"/>
    <w:rsid w:val="005860F7"/>
    <w:rsid w:val="00594CCB"/>
    <w:rsid w:val="00595730"/>
    <w:rsid w:val="005960F4"/>
    <w:rsid w:val="005A0262"/>
    <w:rsid w:val="005A0A89"/>
    <w:rsid w:val="005A5F00"/>
    <w:rsid w:val="005B08EE"/>
    <w:rsid w:val="005B451C"/>
    <w:rsid w:val="005B6BCE"/>
    <w:rsid w:val="005C0E5D"/>
    <w:rsid w:val="005C1047"/>
    <w:rsid w:val="005C1E10"/>
    <w:rsid w:val="005C40AA"/>
    <w:rsid w:val="005C6CA2"/>
    <w:rsid w:val="005C75BF"/>
    <w:rsid w:val="005C7B27"/>
    <w:rsid w:val="005D0005"/>
    <w:rsid w:val="005D65C5"/>
    <w:rsid w:val="005F1CAE"/>
    <w:rsid w:val="005F2719"/>
    <w:rsid w:val="005F39C2"/>
    <w:rsid w:val="005F3F50"/>
    <w:rsid w:val="005F49EE"/>
    <w:rsid w:val="00600A04"/>
    <w:rsid w:val="00602DAF"/>
    <w:rsid w:val="00603B64"/>
    <w:rsid w:val="00603EF4"/>
    <w:rsid w:val="00604FA7"/>
    <w:rsid w:val="00610E44"/>
    <w:rsid w:val="00616914"/>
    <w:rsid w:val="006244B8"/>
    <w:rsid w:val="0062721D"/>
    <w:rsid w:val="00627D32"/>
    <w:rsid w:val="00636C39"/>
    <w:rsid w:val="0065448F"/>
    <w:rsid w:val="00661B3B"/>
    <w:rsid w:val="006635E8"/>
    <w:rsid w:val="00670D92"/>
    <w:rsid w:val="00675E6D"/>
    <w:rsid w:val="006763E2"/>
    <w:rsid w:val="006768DD"/>
    <w:rsid w:val="00681FD9"/>
    <w:rsid w:val="006865AD"/>
    <w:rsid w:val="006954CA"/>
    <w:rsid w:val="00696DDE"/>
    <w:rsid w:val="006A0528"/>
    <w:rsid w:val="006A3B41"/>
    <w:rsid w:val="006B1517"/>
    <w:rsid w:val="006B537A"/>
    <w:rsid w:val="006C7B61"/>
    <w:rsid w:val="006D020D"/>
    <w:rsid w:val="006D1123"/>
    <w:rsid w:val="006F1026"/>
    <w:rsid w:val="006F143A"/>
    <w:rsid w:val="006F18C7"/>
    <w:rsid w:val="006F3584"/>
    <w:rsid w:val="00712836"/>
    <w:rsid w:val="0071606C"/>
    <w:rsid w:val="00716620"/>
    <w:rsid w:val="0071689C"/>
    <w:rsid w:val="007202FD"/>
    <w:rsid w:val="007437F9"/>
    <w:rsid w:val="00746DC6"/>
    <w:rsid w:val="007515A5"/>
    <w:rsid w:val="00755CE5"/>
    <w:rsid w:val="00757372"/>
    <w:rsid w:val="007642C9"/>
    <w:rsid w:val="00764C94"/>
    <w:rsid w:val="007743D1"/>
    <w:rsid w:val="0077542C"/>
    <w:rsid w:val="00780B9D"/>
    <w:rsid w:val="00784286"/>
    <w:rsid w:val="00790F16"/>
    <w:rsid w:val="007920EB"/>
    <w:rsid w:val="007A335C"/>
    <w:rsid w:val="007A54D7"/>
    <w:rsid w:val="007A60C0"/>
    <w:rsid w:val="007B251E"/>
    <w:rsid w:val="007B796D"/>
    <w:rsid w:val="007C02F7"/>
    <w:rsid w:val="007C0478"/>
    <w:rsid w:val="007C3D6C"/>
    <w:rsid w:val="007D2B8F"/>
    <w:rsid w:val="007D4099"/>
    <w:rsid w:val="007D4272"/>
    <w:rsid w:val="007D543B"/>
    <w:rsid w:val="007D5A14"/>
    <w:rsid w:val="007D646E"/>
    <w:rsid w:val="007E39A6"/>
    <w:rsid w:val="007E6FA1"/>
    <w:rsid w:val="007E727B"/>
    <w:rsid w:val="007F280D"/>
    <w:rsid w:val="007F5FCE"/>
    <w:rsid w:val="00801185"/>
    <w:rsid w:val="00801609"/>
    <w:rsid w:val="00806757"/>
    <w:rsid w:val="008119AF"/>
    <w:rsid w:val="00814B91"/>
    <w:rsid w:val="0081665B"/>
    <w:rsid w:val="00820871"/>
    <w:rsid w:val="00820C5E"/>
    <w:rsid w:val="00820DE8"/>
    <w:rsid w:val="00827772"/>
    <w:rsid w:val="00827DCC"/>
    <w:rsid w:val="0083020C"/>
    <w:rsid w:val="0083367C"/>
    <w:rsid w:val="00840C74"/>
    <w:rsid w:val="008414AE"/>
    <w:rsid w:val="00850948"/>
    <w:rsid w:val="00867E34"/>
    <w:rsid w:val="00872D41"/>
    <w:rsid w:val="008741CE"/>
    <w:rsid w:val="0087484F"/>
    <w:rsid w:val="00880728"/>
    <w:rsid w:val="00890C41"/>
    <w:rsid w:val="00894D2C"/>
    <w:rsid w:val="00896B4E"/>
    <w:rsid w:val="008974F3"/>
    <w:rsid w:val="008A1EA1"/>
    <w:rsid w:val="008A4F8A"/>
    <w:rsid w:val="008C6098"/>
    <w:rsid w:val="008C64B4"/>
    <w:rsid w:val="008D3A8D"/>
    <w:rsid w:val="008D66C6"/>
    <w:rsid w:val="008E07CB"/>
    <w:rsid w:val="008E5872"/>
    <w:rsid w:val="008F1792"/>
    <w:rsid w:val="008F5B29"/>
    <w:rsid w:val="00900A5C"/>
    <w:rsid w:val="00902687"/>
    <w:rsid w:val="0091122C"/>
    <w:rsid w:val="0091293E"/>
    <w:rsid w:val="0091328A"/>
    <w:rsid w:val="00922516"/>
    <w:rsid w:val="009268D5"/>
    <w:rsid w:val="00930D7D"/>
    <w:rsid w:val="00933BE3"/>
    <w:rsid w:val="00941C8B"/>
    <w:rsid w:val="009422F6"/>
    <w:rsid w:val="009472CD"/>
    <w:rsid w:val="00953194"/>
    <w:rsid w:val="00954D17"/>
    <w:rsid w:val="0096426B"/>
    <w:rsid w:val="0096487C"/>
    <w:rsid w:val="009665D9"/>
    <w:rsid w:val="00967423"/>
    <w:rsid w:val="00976BED"/>
    <w:rsid w:val="00981F8E"/>
    <w:rsid w:val="009832E4"/>
    <w:rsid w:val="00983862"/>
    <w:rsid w:val="009846C2"/>
    <w:rsid w:val="00994EC8"/>
    <w:rsid w:val="009A15C0"/>
    <w:rsid w:val="009B1D07"/>
    <w:rsid w:val="009B31EF"/>
    <w:rsid w:val="009B35A0"/>
    <w:rsid w:val="009B7759"/>
    <w:rsid w:val="009C11AB"/>
    <w:rsid w:val="009C64CA"/>
    <w:rsid w:val="009D4697"/>
    <w:rsid w:val="009F3130"/>
    <w:rsid w:val="009F5781"/>
    <w:rsid w:val="009F616B"/>
    <w:rsid w:val="00A00304"/>
    <w:rsid w:val="00A1124C"/>
    <w:rsid w:val="00A11A78"/>
    <w:rsid w:val="00A1685B"/>
    <w:rsid w:val="00A17F55"/>
    <w:rsid w:val="00A22C6A"/>
    <w:rsid w:val="00A23045"/>
    <w:rsid w:val="00A23A8E"/>
    <w:rsid w:val="00A23C10"/>
    <w:rsid w:val="00A24C67"/>
    <w:rsid w:val="00A25199"/>
    <w:rsid w:val="00A33580"/>
    <w:rsid w:val="00A4187A"/>
    <w:rsid w:val="00A419CA"/>
    <w:rsid w:val="00A563D3"/>
    <w:rsid w:val="00A610F1"/>
    <w:rsid w:val="00A75A28"/>
    <w:rsid w:val="00A82887"/>
    <w:rsid w:val="00A83177"/>
    <w:rsid w:val="00A85818"/>
    <w:rsid w:val="00A8750C"/>
    <w:rsid w:val="00A90F21"/>
    <w:rsid w:val="00A93018"/>
    <w:rsid w:val="00A94A87"/>
    <w:rsid w:val="00A960A3"/>
    <w:rsid w:val="00AA4AD7"/>
    <w:rsid w:val="00AA64FC"/>
    <w:rsid w:val="00AA7EEC"/>
    <w:rsid w:val="00AB17C2"/>
    <w:rsid w:val="00AB3F83"/>
    <w:rsid w:val="00AB4484"/>
    <w:rsid w:val="00AC3526"/>
    <w:rsid w:val="00AC6058"/>
    <w:rsid w:val="00AD04CA"/>
    <w:rsid w:val="00AD6C6C"/>
    <w:rsid w:val="00AE1D66"/>
    <w:rsid w:val="00AE2613"/>
    <w:rsid w:val="00AE6AEC"/>
    <w:rsid w:val="00AF048B"/>
    <w:rsid w:val="00AF2C39"/>
    <w:rsid w:val="00AF60ED"/>
    <w:rsid w:val="00AF6C4A"/>
    <w:rsid w:val="00B01A4B"/>
    <w:rsid w:val="00B06B87"/>
    <w:rsid w:val="00B17185"/>
    <w:rsid w:val="00B214C3"/>
    <w:rsid w:val="00B24D2A"/>
    <w:rsid w:val="00B35A44"/>
    <w:rsid w:val="00B35CA7"/>
    <w:rsid w:val="00B413B3"/>
    <w:rsid w:val="00B54FD5"/>
    <w:rsid w:val="00B60BBE"/>
    <w:rsid w:val="00B61A09"/>
    <w:rsid w:val="00B67BCD"/>
    <w:rsid w:val="00B71ADD"/>
    <w:rsid w:val="00B73435"/>
    <w:rsid w:val="00B7413B"/>
    <w:rsid w:val="00B7587F"/>
    <w:rsid w:val="00B7759C"/>
    <w:rsid w:val="00B8406E"/>
    <w:rsid w:val="00B85065"/>
    <w:rsid w:val="00B94687"/>
    <w:rsid w:val="00B97A89"/>
    <w:rsid w:val="00BA0DBE"/>
    <w:rsid w:val="00BA3D18"/>
    <w:rsid w:val="00BA3EC9"/>
    <w:rsid w:val="00BA58C8"/>
    <w:rsid w:val="00BB08C0"/>
    <w:rsid w:val="00BB1951"/>
    <w:rsid w:val="00BB6605"/>
    <w:rsid w:val="00BB6D28"/>
    <w:rsid w:val="00BC5BAA"/>
    <w:rsid w:val="00BC64BF"/>
    <w:rsid w:val="00BC7624"/>
    <w:rsid w:val="00BD0E87"/>
    <w:rsid w:val="00BD604A"/>
    <w:rsid w:val="00BD71E6"/>
    <w:rsid w:val="00BD76F2"/>
    <w:rsid w:val="00BE3D22"/>
    <w:rsid w:val="00BE3E89"/>
    <w:rsid w:val="00BE45D5"/>
    <w:rsid w:val="00BE73C1"/>
    <w:rsid w:val="00BE7A3E"/>
    <w:rsid w:val="00BF1B87"/>
    <w:rsid w:val="00C018D6"/>
    <w:rsid w:val="00C02632"/>
    <w:rsid w:val="00C02CA1"/>
    <w:rsid w:val="00C14653"/>
    <w:rsid w:val="00C207D3"/>
    <w:rsid w:val="00C30FA1"/>
    <w:rsid w:val="00C4625D"/>
    <w:rsid w:val="00C47511"/>
    <w:rsid w:val="00C64F44"/>
    <w:rsid w:val="00C66560"/>
    <w:rsid w:val="00C6716B"/>
    <w:rsid w:val="00C75206"/>
    <w:rsid w:val="00C84AC8"/>
    <w:rsid w:val="00C96CEF"/>
    <w:rsid w:val="00CA18C7"/>
    <w:rsid w:val="00CA2368"/>
    <w:rsid w:val="00CA4AAA"/>
    <w:rsid w:val="00CB1292"/>
    <w:rsid w:val="00CB2898"/>
    <w:rsid w:val="00CB33D7"/>
    <w:rsid w:val="00CD1538"/>
    <w:rsid w:val="00CD3FE7"/>
    <w:rsid w:val="00CD7088"/>
    <w:rsid w:val="00CF0879"/>
    <w:rsid w:val="00CF53FD"/>
    <w:rsid w:val="00D154B7"/>
    <w:rsid w:val="00D15C61"/>
    <w:rsid w:val="00D16827"/>
    <w:rsid w:val="00D2162C"/>
    <w:rsid w:val="00D21719"/>
    <w:rsid w:val="00D228DC"/>
    <w:rsid w:val="00D3392E"/>
    <w:rsid w:val="00D33E7F"/>
    <w:rsid w:val="00D34171"/>
    <w:rsid w:val="00D51864"/>
    <w:rsid w:val="00D533ED"/>
    <w:rsid w:val="00D5372B"/>
    <w:rsid w:val="00D56DA8"/>
    <w:rsid w:val="00D57ACD"/>
    <w:rsid w:val="00D64971"/>
    <w:rsid w:val="00D80CC7"/>
    <w:rsid w:val="00D82573"/>
    <w:rsid w:val="00D92A27"/>
    <w:rsid w:val="00D93A4D"/>
    <w:rsid w:val="00D93C51"/>
    <w:rsid w:val="00DA1B2B"/>
    <w:rsid w:val="00DB443C"/>
    <w:rsid w:val="00DB507A"/>
    <w:rsid w:val="00DC0E8C"/>
    <w:rsid w:val="00DC67CA"/>
    <w:rsid w:val="00DC69F6"/>
    <w:rsid w:val="00DD785C"/>
    <w:rsid w:val="00DE494B"/>
    <w:rsid w:val="00DE5DE4"/>
    <w:rsid w:val="00DE7FAF"/>
    <w:rsid w:val="00E02015"/>
    <w:rsid w:val="00E029E9"/>
    <w:rsid w:val="00E071C6"/>
    <w:rsid w:val="00E10130"/>
    <w:rsid w:val="00E11260"/>
    <w:rsid w:val="00E12E7A"/>
    <w:rsid w:val="00E15659"/>
    <w:rsid w:val="00E2302F"/>
    <w:rsid w:val="00E3270C"/>
    <w:rsid w:val="00E34C43"/>
    <w:rsid w:val="00E35D6B"/>
    <w:rsid w:val="00E41211"/>
    <w:rsid w:val="00E4270A"/>
    <w:rsid w:val="00E43822"/>
    <w:rsid w:val="00E47124"/>
    <w:rsid w:val="00E52C68"/>
    <w:rsid w:val="00E5777F"/>
    <w:rsid w:val="00E577E5"/>
    <w:rsid w:val="00E63A94"/>
    <w:rsid w:val="00E652B3"/>
    <w:rsid w:val="00E658CD"/>
    <w:rsid w:val="00E73907"/>
    <w:rsid w:val="00E73B22"/>
    <w:rsid w:val="00E841BA"/>
    <w:rsid w:val="00EA4DE7"/>
    <w:rsid w:val="00EB236B"/>
    <w:rsid w:val="00EB7FCC"/>
    <w:rsid w:val="00EC4A6A"/>
    <w:rsid w:val="00EC6F14"/>
    <w:rsid w:val="00ED0C69"/>
    <w:rsid w:val="00ED3276"/>
    <w:rsid w:val="00EE2B9C"/>
    <w:rsid w:val="00F12A47"/>
    <w:rsid w:val="00F15A6C"/>
    <w:rsid w:val="00F179C7"/>
    <w:rsid w:val="00F26529"/>
    <w:rsid w:val="00F40F83"/>
    <w:rsid w:val="00F4171F"/>
    <w:rsid w:val="00F42F20"/>
    <w:rsid w:val="00F4656C"/>
    <w:rsid w:val="00F50C26"/>
    <w:rsid w:val="00F519CB"/>
    <w:rsid w:val="00F56EBB"/>
    <w:rsid w:val="00F607DE"/>
    <w:rsid w:val="00F64984"/>
    <w:rsid w:val="00F70795"/>
    <w:rsid w:val="00F777D3"/>
    <w:rsid w:val="00F82240"/>
    <w:rsid w:val="00F90CDC"/>
    <w:rsid w:val="00F9730C"/>
    <w:rsid w:val="00F974D7"/>
    <w:rsid w:val="00FA016B"/>
    <w:rsid w:val="00FA378D"/>
    <w:rsid w:val="00FA4075"/>
    <w:rsid w:val="00FA4096"/>
    <w:rsid w:val="00FA7CBA"/>
    <w:rsid w:val="00FB1608"/>
    <w:rsid w:val="00FB42D4"/>
    <w:rsid w:val="00FC0F9E"/>
    <w:rsid w:val="00FD4D89"/>
    <w:rsid w:val="00FE5FDD"/>
    <w:rsid w:val="00FE7E45"/>
    <w:rsid w:val="00FE7E79"/>
    <w:rsid w:val="00FF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C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43A"/>
    <w:rPr>
      <w:sz w:val="24"/>
      <w:szCs w:val="24"/>
    </w:rPr>
  </w:style>
  <w:style w:type="paragraph" w:styleId="Heading3">
    <w:name w:val="heading 3"/>
    <w:basedOn w:val="Normal"/>
    <w:next w:val="Normal"/>
    <w:link w:val="Heading3Char"/>
    <w:qFormat/>
    <w:rsid w:val="00A82887"/>
    <w:pPr>
      <w:keepNext/>
      <w:spacing w:before="12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3">
    <w:name w:val="Bullet 3"/>
    <w:basedOn w:val="Normal"/>
    <w:rsid w:val="00A82887"/>
    <w:pPr>
      <w:numPr>
        <w:numId w:val="9"/>
      </w:numPr>
      <w:spacing w:before="40"/>
    </w:pPr>
  </w:style>
  <w:style w:type="paragraph" w:customStyle="1" w:styleId="Bullet2">
    <w:name w:val="Bullet 2"/>
    <w:basedOn w:val="Normal"/>
    <w:rsid w:val="00A82887"/>
    <w:pPr>
      <w:numPr>
        <w:numId w:val="12"/>
      </w:numPr>
      <w:spacing w:before="80"/>
    </w:pPr>
  </w:style>
  <w:style w:type="paragraph" w:customStyle="1" w:styleId="StyleBullet2Bold">
    <w:name w:val="Style Bullet 2 + Bold"/>
    <w:basedOn w:val="Bullet2"/>
    <w:rsid w:val="00A82887"/>
    <w:pPr>
      <w:numPr>
        <w:numId w:val="0"/>
      </w:numPr>
    </w:pPr>
    <w:rPr>
      <w:b/>
      <w:bCs/>
    </w:rPr>
  </w:style>
  <w:style w:type="character" w:styleId="Hyperlink">
    <w:name w:val="Hyperlink"/>
    <w:basedOn w:val="DefaultParagraphFont"/>
    <w:rsid w:val="00370210"/>
    <w:rPr>
      <w:color w:val="0000FF"/>
      <w:u w:val="single"/>
    </w:rPr>
  </w:style>
  <w:style w:type="paragraph" w:styleId="ListParagraph">
    <w:name w:val="List Paragraph"/>
    <w:basedOn w:val="Normal"/>
    <w:uiPriority w:val="34"/>
    <w:qFormat/>
    <w:rsid w:val="006B1517"/>
    <w:pPr>
      <w:ind w:left="720"/>
      <w:contextualSpacing/>
    </w:pPr>
  </w:style>
  <w:style w:type="character" w:customStyle="1" w:styleId="il">
    <w:name w:val="il"/>
    <w:basedOn w:val="DefaultParagraphFont"/>
    <w:rsid w:val="00DA1B2B"/>
  </w:style>
  <w:style w:type="paragraph" w:styleId="BalloonText">
    <w:name w:val="Balloon Text"/>
    <w:basedOn w:val="Normal"/>
    <w:link w:val="BalloonTextChar"/>
    <w:rsid w:val="009F616B"/>
    <w:rPr>
      <w:rFonts w:ascii="Tahoma" w:hAnsi="Tahoma" w:cs="Tahoma"/>
      <w:sz w:val="16"/>
      <w:szCs w:val="16"/>
    </w:rPr>
  </w:style>
  <w:style w:type="character" w:customStyle="1" w:styleId="BalloonTextChar">
    <w:name w:val="Balloon Text Char"/>
    <w:basedOn w:val="DefaultParagraphFont"/>
    <w:link w:val="BalloonText"/>
    <w:rsid w:val="009F616B"/>
    <w:rPr>
      <w:rFonts w:ascii="Tahoma" w:hAnsi="Tahoma" w:cs="Tahoma"/>
      <w:sz w:val="16"/>
      <w:szCs w:val="16"/>
    </w:rPr>
  </w:style>
  <w:style w:type="paragraph" w:styleId="Revision">
    <w:name w:val="Revision"/>
    <w:hidden/>
    <w:uiPriority w:val="99"/>
    <w:semiHidden/>
    <w:rsid w:val="00BA3EC9"/>
    <w:rPr>
      <w:sz w:val="24"/>
      <w:szCs w:val="24"/>
    </w:rPr>
  </w:style>
  <w:style w:type="table" w:styleId="TableGrid">
    <w:name w:val="Table Grid"/>
    <w:basedOn w:val="TableNormal"/>
    <w:rsid w:val="003B3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23A8E"/>
    <w:rPr>
      <w:sz w:val="16"/>
      <w:szCs w:val="16"/>
    </w:rPr>
  </w:style>
  <w:style w:type="paragraph" w:styleId="CommentText">
    <w:name w:val="annotation text"/>
    <w:basedOn w:val="Normal"/>
    <w:link w:val="CommentTextChar"/>
    <w:rsid w:val="00A23A8E"/>
    <w:rPr>
      <w:sz w:val="20"/>
      <w:szCs w:val="20"/>
    </w:rPr>
  </w:style>
  <w:style w:type="character" w:customStyle="1" w:styleId="CommentTextChar">
    <w:name w:val="Comment Text Char"/>
    <w:basedOn w:val="DefaultParagraphFont"/>
    <w:link w:val="CommentText"/>
    <w:rsid w:val="00A23A8E"/>
  </w:style>
  <w:style w:type="paragraph" w:styleId="CommentSubject">
    <w:name w:val="annotation subject"/>
    <w:basedOn w:val="CommentText"/>
    <w:next w:val="CommentText"/>
    <w:link w:val="CommentSubjectChar"/>
    <w:rsid w:val="00A23A8E"/>
    <w:rPr>
      <w:b/>
      <w:bCs/>
    </w:rPr>
  </w:style>
  <w:style w:type="character" w:customStyle="1" w:styleId="CommentSubjectChar">
    <w:name w:val="Comment Subject Char"/>
    <w:basedOn w:val="CommentTextChar"/>
    <w:link w:val="CommentSubject"/>
    <w:rsid w:val="00A23A8E"/>
    <w:rPr>
      <w:b/>
      <w:bCs/>
    </w:rPr>
  </w:style>
  <w:style w:type="character" w:customStyle="1" w:styleId="style10">
    <w:name w:val="style10"/>
    <w:basedOn w:val="DefaultParagraphFont"/>
    <w:rsid w:val="00604FA7"/>
  </w:style>
  <w:style w:type="character" w:customStyle="1" w:styleId="Heading3Char">
    <w:name w:val="Heading 3 Char"/>
    <w:basedOn w:val="DefaultParagraphFont"/>
    <w:link w:val="Heading3"/>
    <w:uiPriority w:val="9"/>
    <w:rsid w:val="008F5B29"/>
    <w:rPr>
      <w:rFonts w:ascii="Arial" w:hAnsi="Arial" w:cs="Arial"/>
      <w:b/>
      <w:bCs/>
      <w:sz w:val="26"/>
      <w:szCs w:val="26"/>
    </w:rPr>
  </w:style>
  <w:style w:type="character" w:styleId="Emphasis">
    <w:name w:val="Emphasis"/>
    <w:basedOn w:val="DefaultParagraphFont"/>
    <w:uiPriority w:val="20"/>
    <w:qFormat/>
    <w:rsid w:val="008F5B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43A"/>
    <w:rPr>
      <w:sz w:val="24"/>
      <w:szCs w:val="24"/>
    </w:rPr>
  </w:style>
  <w:style w:type="paragraph" w:styleId="Heading3">
    <w:name w:val="heading 3"/>
    <w:basedOn w:val="Normal"/>
    <w:next w:val="Normal"/>
    <w:link w:val="Heading3Char"/>
    <w:qFormat/>
    <w:rsid w:val="00A82887"/>
    <w:pPr>
      <w:keepNext/>
      <w:spacing w:before="12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3">
    <w:name w:val="Bullet 3"/>
    <w:basedOn w:val="Normal"/>
    <w:rsid w:val="00A82887"/>
    <w:pPr>
      <w:numPr>
        <w:numId w:val="9"/>
      </w:numPr>
      <w:spacing w:before="40"/>
    </w:pPr>
  </w:style>
  <w:style w:type="paragraph" w:customStyle="1" w:styleId="Bullet2">
    <w:name w:val="Bullet 2"/>
    <w:basedOn w:val="Normal"/>
    <w:rsid w:val="00A82887"/>
    <w:pPr>
      <w:numPr>
        <w:numId w:val="12"/>
      </w:numPr>
      <w:spacing w:before="80"/>
    </w:pPr>
  </w:style>
  <w:style w:type="paragraph" w:customStyle="1" w:styleId="StyleBullet2Bold">
    <w:name w:val="Style Bullet 2 + Bold"/>
    <w:basedOn w:val="Bullet2"/>
    <w:rsid w:val="00A82887"/>
    <w:pPr>
      <w:numPr>
        <w:numId w:val="0"/>
      </w:numPr>
    </w:pPr>
    <w:rPr>
      <w:b/>
      <w:bCs/>
    </w:rPr>
  </w:style>
  <w:style w:type="character" w:styleId="Hyperlink">
    <w:name w:val="Hyperlink"/>
    <w:basedOn w:val="DefaultParagraphFont"/>
    <w:rsid w:val="00370210"/>
    <w:rPr>
      <w:color w:val="0000FF"/>
      <w:u w:val="single"/>
    </w:rPr>
  </w:style>
  <w:style w:type="paragraph" w:styleId="ListParagraph">
    <w:name w:val="List Paragraph"/>
    <w:basedOn w:val="Normal"/>
    <w:uiPriority w:val="34"/>
    <w:qFormat/>
    <w:rsid w:val="006B1517"/>
    <w:pPr>
      <w:ind w:left="720"/>
      <w:contextualSpacing/>
    </w:pPr>
  </w:style>
  <w:style w:type="character" w:customStyle="1" w:styleId="il">
    <w:name w:val="il"/>
    <w:basedOn w:val="DefaultParagraphFont"/>
    <w:rsid w:val="00DA1B2B"/>
  </w:style>
  <w:style w:type="paragraph" w:styleId="BalloonText">
    <w:name w:val="Balloon Text"/>
    <w:basedOn w:val="Normal"/>
    <w:link w:val="BalloonTextChar"/>
    <w:rsid w:val="009F616B"/>
    <w:rPr>
      <w:rFonts w:ascii="Tahoma" w:hAnsi="Tahoma" w:cs="Tahoma"/>
      <w:sz w:val="16"/>
      <w:szCs w:val="16"/>
    </w:rPr>
  </w:style>
  <w:style w:type="character" w:customStyle="1" w:styleId="BalloonTextChar">
    <w:name w:val="Balloon Text Char"/>
    <w:basedOn w:val="DefaultParagraphFont"/>
    <w:link w:val="BalloonText"/>
    <w:rsid w:val="009F616B"/>
    <w:rPr>
      <w:rFonts w:ascii="Tahoma" w:hAnsi="Tahoma" w:cs="Tahoma"/>
      <w:sz w:val="16"/>
      <w:szCs w:val="16"/>
    </w:rPr>
  </w:style>
  <w:style w:type="paragraph" w:styleId="Revision">
    <w:name w:val="Revision"/>
    <w:hidden/>
    <w:uiPriority w:val="99"/>
    <w:semiHidden/>
    <w:rsid w:val="00BA3EC9"/>
    <w:rPr>
      <w:sz w:val="24"/>
      <w:szCs w:val="24"/>
    </w:rPr>
  </w:style>
  <w:style w:type="table" w:styleId="TableGrid">
    <w:name w:val="Table Grid"/>
    <w:basedOn w:val="TableNormal"/>
    <w:rsid w:val="003B3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23A8E"/>
    <w:rPr>
      <w:sz w:val="16"/>
      <w:szCs w:val="16"/>
    </w:rPr>
  </w:style>
  <w:style w:type="paragraph" w:styleId="CommentText">
    <w:name w:val="annotation text"/>
    <w:basedOn w:val="Normal"/>
    <w:link w:val="CommentTextChar"/>
    <w:rsid w:val="00A23A8E"/>
    <w:rPr>
      <w:sz w:val="20"/>
      <w:szCs w:val="20"/>
    </w:rPr>
  </w:style>
  <w:style w:type="character" w:customStyle="1" w:styleId="CommentTextChar">
    <w:name w:val="Comment Text Char"/>
    <w:basedOn w:val="DefaultParagraphFont"/>
    <w:link w:val="CommentText"/>
    <w:rsid w:val="00A23A8E"/>
  </w:style>
  <w:style w:type="paragraph" w:styleId="CommentSubject">
    <w:name w:val="annotation subject"/>
    <w:basedOn w:val="CommentText"/>
    <w:next w:val="CommentText"/>
    <w:link w:val="CommentSubjectChar"/>
    <w:rsid w:val="00A23A8E"/>
    <w:rPr>
      <w:b/>
      <w:bCs/>
    </w:rPr>
  </w:style>
  <w:style w:type="character" w:customStyle="1" w:styleId="CommentSubjectChar">
    <w:name w:val="Comment Subject Char"/>
    <w:basedOn w:val="CommentTextChar"/>
    <w:link w:val="CommentSubject"/>
    <w:rsid w:val="00A23A8E"/>
    <w:rPr>
      <w:b/>
      <w:bCs/>
    </w:rPr>
  </w:style>
  <w:style w:type="character" w:customStyle="1" w:styleId="style10">
    <w:name w:val="style10"/>
    <w:basedOn w:val="DefaultParagraphFont"/>
    <w:rsid w:val="00604FA7"/>
  </w:style>
  <w:style w:type="character" w:customStyle="1" w:styleId="Heading3Char">
    <w:name w:val="Heading 3 Char"/>
    <w:basedOn w:val="DefaultParagraphFont"/>
    <w:link w:val="Heading3"/>
    <w:uiPriority w:val="9"/>
    <w:rsid w:val="008F5B29"/>
    <w:rPr>
      <w:rFonts w:ascii="Arial" w:hAnsi="Arial" w:cs="Arial"/>
      <w:b/>
      <w:bCs/>
      <w:sz w:val="26"/>
      <w:szCs w:val="26"/>
    </w:rPr>
  </w:style>
  <w:style w:type="character" w:styleId="Emphasis">
    <w:name w:val="Emphasis"/>
    <w:basedOn w:val="DefaultParagraphFont"/>
    <w:uiPriority w:val="20"/>
    <w:qFormat/>
    <w:rsid w:val="008F5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322">
      <w:bodyDiv w:val="1"/>
      <w:marLeft w:val="0"/>
      <w:marRight w:val="0"/>
      <w:marTop w:val="0"/>
      <w:marBottom w:val="0"/>
      <w:divBdr>
        <w:top w:val="none" w:sz="0" w:space="0" w:color="auto"/>
        <w:left w:val="none" w:sz="0" w:space="0" w:color="auto"/>
        <w:bottom w:val="none" w:sz="0" w:space="0" w:color="auto"/>
        <w:right w:val="none" w:sz="0" w:space="0" w:color="auto"/>
      </w:divBdr>
    </w:div>
    <w:div w:id="359478377">
      <w:bodyDiv w:val="1"/>
      <w:marLeft w:val="0"/>
      <w:marRight w:val="0"/>
      <w:marTop w:val="0"/>
      <w:marBottom w:val="0"/>
      <w:divBdr>
        <w:top w:val="none" w:sz="0" w:space="0" w:color="auto"/>
        <w:left w:val="none" w:sz="0" w:space="0" w:color="auto"/>
        <w:bottom w:val="none" w:sz="0" w:space="0" w:color="auto"/>
        <w:right w:val="none" w:sz="0" w:space="0" w:color="auto"/>
      </w:divBdr>
    </w:div>
    <w:div w:id="371611127">
      <w:bodyDiv w:val="1"/>
      <w:marLeft w:val="0"/>
      <w:marRight w:val="0"/>
      <w:marTop w:val="0"/>
      <w:marBottom w:val="0"/>
      <w:divBdr>
        <w:top w:val="none" w:sz="0" w:space="0" w:color="auto"/>
        <w:left w:val="none" w:sz="0" w:space="0" w:color="auto"/>
        <w:bottom w:val="none" w:sz="0" w:space="0" w:color="auto"/>
        <w:right w:val="none" w:sz="0" w:space="0" w:color="auto"/>
      </w:divBdr>
    </w:div>
    <w:div w:id="899176740">
      <w:bodyDiv w:val="1"/>
      <w:marLeft w:val="0"/>
      <w:marRight w:val="0"/>
      <w:marTop w:val="0"/>
      <w:marBottom w:val="0"/>
      <w:divBdr>
        <w:top w:val="none" w:sz="0" w:space="0" w:color="auto"/>
        <w:left w:val="none" w:sz="0" w:space="0" w:color="auto"/>
        <w:bottom w:val="none" w:sz="0" w:space="0" w:color="auto"/>
        <w:right w:val="none" w:sz="0" w:space="0" w:color="auto"/>
      </w:divBdr>
    </w:div>
    <w:div w:id="1423724079">
      <w:bodyDiv w:val="1"/>
      <w:marLeft w:val="0"/>
      <w:marRight w:val="0"/>
      <w:marTop w:val="0"/>
      <w:marBottom w:val="0"/>
      <w:divBdr>
        <w:top w:val="none" w:sz="0" w:space="0" w:color="auto"/>
        <w:left w:val="none" w:sz="0" w:space="0" w:color="auto"/>
        <w:bottom w:val="none" w:sz="0" w:space="0" w:color="auto"/>
        <w:right w:val="none" w:sz="0" w:space="0" w:color="auto"/>
      </w:divBdr>
    </w:div>
    <w:div w:id="1548639797">
      <w:bodyDiv w:val="1"/>
      <w:marLeft w:val="0"/>
      <w:marRight w:val="0"/>
      <w:marTop w:val="0"/>
      <w:marBottom w:val="0"/>
      <w:divBdr>
        <w:top w:val="none" w:sz="0" w:space="0" w:color="auto"/>
        <w:left w:val="none" w:sz="0" w:space="0" w:color="auto"/>
        <w:bottom w:val="none" w:sz="0" w:space="0" w:color="auto"/>
        <w:right w:val="none" w:sz="0" w:space="0" w:color="auto"/>
      </w:divBdr>
    </w:div>
    <w:div w:id="17973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1B83-2A1F-A34B-993D-98C155D11E88}">
  <ds:schemaRefs>
    <ds:schemaRef ds:uri="http://schemas.openxmlformats.org/officeDocument/2006/bibliography"/>
  </ds:schemaRefs>
</ds:datastoreItem>
</file>

<file path=customXml/itemProps2.xml><?xml version="1.0" encoding="utf-8"?>
<ds:datastoreItem xmlns:ds="http://schemas.openxmlformats.org/officeDocument/2006/customXml" ds:itemID="{831DB15E-5F95-6648-B6E8-4538D8F5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MYRON FELD</vt:lpstr>
    </vt:vector>
  </TitlesOfParts>
  <Company>Hewlett-Packard</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MYRON FELD</dc:title>
  <dc:creator>mfeld</dc:creator>
  <cp:lastModifiedBy>Joseph Picone</cp:lastModifiedBy>
  <cp:revision>4</cp:revision>
  <cp:lastPrinted>2014-11-01T13:32:00Z</cp:lastPrinted>
  <dcterms:created xsi:type="dcterms:W3CDTF">2014-11-01T13:32:00Z</dcterms:created>
  <dcterms:modified xsi:type="dcterms:W3CDTF">2014-11-01T14:08:00Z</dcterms:modified>
</cp:coreProperties>
</file>