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58F44" w14:textId="1285E318" w:rsidR="00F60728" w:rsidRDefault="00F60728" w:rsidP="00BA7329">
      <w:pPr>
        <w:jc w:val="center"/>
        <w:rPr>
          <w:rFonts w:ascii="Calibri" w:hAnsi="Calibri"/>
          <w:b/>
        </w:rPr>
      </w:pPr>
      <w:r w:rsidRPr="00F60728">
        <w:rPr>
          <w:rFonts w:ascii="Calibri" w:hAnsi="Calibri"/>
          <w:b/>
        </w:rPr>
        <w:t>Real-Time Seizure Detection in an ICU Environment</w:t>
      </w:r>
    </w:p>
    <w:p w14:paraId="3565DCD2" w14:textId="677BC4A7" w:rsidR="00F60728" w:rsidRPr="00F60728" w:rsidRDefault="00E444C5" w:rsidP="00F60728">
      <w:pPr>
        <w:jc w:val="center"/>
        <w:rPr>
          <w:rFonts w:ascii="Calibri" w:hAnsi="Calibri"/>
          <w:i/>
        </w:rPr>
      </w:pPr>
      <w:r>
        <w:rPr>
          <w:rFonts w:ascii="Calibri" w:hAnsi="Calibri"/>
          <w:i/>
        </w:rPr>
        <w:t>December</w:t>
      </w:r>
      <w:r w:rsidR="00F60728" w:rsidRPr="00F60728">
        <w:rPr>
          <w:rFonts w:ascii="Calibri" w:hAnsi="Calibri"/>
          <w:i/>
        </w:rPr>
        <w:t xml:space="preserve"> 2016</w:t>
      </w:r>
    </w:p>
    <w:p w14:paraId="78D3349F" w14:textId="4D860E40" w:rsidR="00E444C5" w:rsidRDefault="00200507" w:rsidP="00884CD7">
      <w:pPr>
        <w:spacing w:before="120"/>
        <w:rPr>
          <w:rFonts w:ascii="Calibri" w:hAnsi="Calibri"/>
          <w:sz w:val="22"/>
          <w:szCs w:val="22"/>
        </w:rPr>
      </w:pPr>
      <w:r>
        <w:rPr>
          <w:rFonts w:ascii="Calibri" w:hAnsi="Calibri"/>
          <w:sz w:val="22"/>
          <w:szCs w:val="22"/>
        </w:rPr>
        <w:t xml:space="preserve">BioSignal Analytics, Inc. </w:t>
      </w:r>
      <w:r w:rsidR="00BA7329">
        <w:rPr>
          <w:rFonts w:ascii="Calibri" w:hAnsi="Calibri"/>
          <w:sz w:val="22"/>
          <w:szCs w:val="22"/>
        </w:rPr>
        <w:t>and</w:t>
      </w:r>
      <w:r>
        <w:rPr>
          <w:rFonts w:ascii="Calibri" w:hAnsi="Calibri"/>
          <w:sz w:val="22"/>
          <w:szCs w:val="22"/>
        </w:rPr>
        <w:t xml:space="preserve"> Temple University </w:t>
      </w:r>
      <w:r w:rsidR="00BA7329">
        <w:rPr>
          <w:rFonts w:ascii="Calibri" w:hAnsi="Calibri"/>
          <w:sz w:val="22"/>
          <w:szCs w:val="22"/>
        </w:rPr>
        <w:t>were</w:t>
      </w:r>
      <w:r>
        <w:rPr>
          <w:rFonts w:ascii="Calibri" w:hAnsi="Calibri"/>
          <w:sz w:val="22"/>
          <w:szCs w:val="22"/>
        </w:rPr>
        <w:t xml:space="preserve"> award</w:t>
      </w:r>
      <w:r w:rsidR="00941285">
        <w:rPr>
          <w:rFonts w:ascii="Calibri" w:hAnsi="Calibri"/>
          <w:sz w:val="22"/>
          <w:szCs w:val="22"/>
        </w:rPr>
        <w:t>ed</w:t>
      </w:r>
      <w:r>
        <w:rPr>
          <w:rFonts w:ascii="Calibri" w:hAnsi="Calibri"/>
          <w:sz w:val="22"/>
          <w:szCs w:val="22"/>
        </w:rPr>
        <w:t xml:space="preserve"> an STTR grant from the National Science Foundation for the</w:t>
      </w:r>
      <w:r w:rsidR="00941285">
        <w:rPr>
          <w:rFonts w:ascii="Calibri" w:hAnsi="Calibri"/>
          <w:sz w:val="22"/>
          <w:szCs w:val="22"/>
        </w:rPr>
        <w:t xml:space="preserve"> application</w:t>
      </w:r>
      <w:r>
        <w:rPr>
          <w:rFonts w:ascii="Calibri" w:hAnsi="Calibri"/>
          <w:sz w:val="22"/>
          <w:szCs w:val="22"/>
        </w:rPr>
        <w:t xml:space="preserve"> of its AutoEEG</w:t>
      </w:r>
      <w:r w:rsidR="00941285">
        <w:rPr>
          <w:rFonts w:ascii="Calibri" w:hAnsi="Calibri"/>
          <w:sz w:val="22"/>
          <w:szCs w:val="22"/>
        </w:rPr>
        <w:t>™ technology to the real-time detection of seizures in an ICU environment. AutoEEG™</w:t>
      </w:r>
      <w:r w:rsidR="00941285" w:rsidRPr="00941285">
        <w:rPr>
          <w:rFonts w:ascii="Calibri" w:hAnsi="Calibri"/>
          <w:sz w:val="22"/>
          <w:szCs w:val="22"/>
        </w:rPr>
        <w:t xml:space="preserve"> leverages validated deep learning techniques and the world’s largest EEG corpus to achieve unprecedented performance in automated EEG analysis</w:t>
      </w:r>
      <w:r w:rsidR="00941285">
        <w:rPr>
          <w:rFonts w:ascii="Calibri" w:hAnsi="Calibri"/>
          <w:sz w:val="22"/>
          <w:szCs w:val="22"/>
        </w:rPr>
        <w:t>.</w:t>
      </w:r>
    </w:p>
    <w:p w14:paraId="0EC9E70C" w14:textId="37AA0148" w:rsidR="00B874F9" w:rsidRPr="00B874F9" w:rsidRDefault="00E444C5" w:rsidP="00B874F9">
      <w:pPr>
        <w:spacing w:before="120"/>
        <w:rPr>
          <w:rFonts w:ascii="Calibri" w:hAnsi="Calibri"/>
          <w:b/>
          <w:sz w:val="22"/>
          <w:szCs w:val="22"/>
        </w:rPr>
      </w:pPr>
      <w:r>
        <w:rPr>
          <w:rFonts w:ascii="Calibri" w:hAnsi="Calibri"/>
          <w:b/>
          <w:sz w:val="22"/>
          <w:szCs w:val="22"/>
        </w:rPr>
        <w:t>Phase I Progress</w:t>
      </w:r>
    </w:p>
    <w:tbl>
      <w:tblPr>
        <w:tblStyle w:val="LightList-Accent3"/>
        <w:tblpPr w:leftFromText="187" w:rightFromText="187" w:vertAnchor="text" w:horzAnchor="margin" w:tblpXSpec="right" w:tblpY="-60"/>
        <w:tblW w:w="431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548"/>
        <w:gridCol w:w="806"/>
        <w:gridCol w:w="987"/>
        <w:gridCol w:w="969"/>
      </w:tblGrid>
      <w:tr w:rsidR="00884CD7" w14:paraId="49610323" w14:textId="77777777" w:rsidTr="00855EB6">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548" w:type="dxa"/>
          </w:tcPr>
          <w:p w14:paraId="22E03E3B" w14:textId="77777777" w:rsidR="00884CD7" w:rsidRPr="00B874F9" w:rsidRDefault="00884CD7" w:rsidP="00884CD7">
            <w:pPr>
              <w:spacing w:before="120"/>
              <w:rPr>
                <w:rFonts w:ascii="Calibri" w:hAnsi="Calibri"/>
                <w:b w:val="0"/>
                <w:sz w:val="20"/>
                <w:szCs w:val="22"/>
              </w:rPr>
            </w:pPr>
            <w:r w:rsidRPr="00B874F9">
              <w:rPr>
                <w:rFonts w:ascii="Calibri" w:hAnsi="Calibri"/>
                <w:b w:val="0"/>
                <w:sz w:val="20"/>
                <w:szCs w:val="22"/>
              </w:rPr>
              <w:t>Description</w:t>
            </w:r>
          </w:p>
        </w:tc>
        <w:tc>
          <w:tcPr>
            <w:tcW w:w="806" w:type="dxa"/>
          </w:tcPr>
          <w:p w14:paraId="0FC020CC" w14:textId="77777777" w:rsidR="00884CD7" w:rsidRPr="00BA7329" w:rsidRDefault="00884CD7" w:rsidP="00884CD7">
            <w:pPr>
              <w:spacing w:before="120"/>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BA7329">
              <w:rPr>
                <w:rFonts w:ascii="Calibri" w:hAnsi="Calibri"/>
                <w:b w:val="0"/>
                <w:sz w:val="20"/>
                <w:szCs w:val="20"/>
              </w:rPr>
              <w:t>Files</w:t>
            </w:r>
          </w:p>
        </w:tc>
        <w:tc>
          <w:tcPr>
            <w:tcW w:w="987" w:type="dxa"/>
          </w:tcPr>
          <w:p w14:paraId="58B6F0E6" w14:textId="77777777" w:rsidR="00884CD7" w:rsidRPr="00B874F9" w:rsidRDefault="00884CD7" w:rsidP="00884CD7">
            <w:pPr>
              <w:spacing w:before="120"/>
              <w:cnfStyle w:val="100000000000" w:firstRow="1" w:lastRow="0" w:firstColumn="0" w:lastColumn="0" w:oddVBand="0" w:evenVBand="0" w:oddHBand="0" w:evenHBand="0" w:firstRowFirstColumn="0" w:firstRowLastColumn="0" w:lastRowFirstColumn="0" w:lastRowLastColumn="0"/>
              <w:rPr>
                <w:rFonts w:ascii="Calibri" w:hAnsi="Calibri"/>
                <w:b w:val="0"/>
                <w:sz w:val="20"/>
                <w:szCs w:val="22"/>
              </w:rPr>
            </w:pPr>
            <w:r w:rsidRPr="00B874F9">
              <w:rPr>
                <w:rFonts w:ascii="Calibri" w:hAnsi="Calibri"/>
                <w:b w:val="0"/>
                <w:sz w:val="20"/>
                <w:szCs w:val="22"/>
              </w:rPr>
              <w:t>Sessions</w:t>
            </w:r>
          </w:p>
        </w:tc>
        <w:tc>
          <w:tcPr>
            <w:tcW w:w="969" w:type="dxa"/>
          </w:tcPr>
          <w:p w14:paraId="7D4489A2" w14:textId="77777777" w:rsidR="00884CD7" w:rsidRPr="00B874F9" w:rsidRDefault="00884CD7" w:rsidP="00884CD7">
            <w:pPr>
              <w:spacing w:before="120"/>
              <w:cnfStyle w:val="100000000000" w:firstRow="1" w:lastRow="0" w:firstColumn="0" w:lastColumn="0" w:oddVBand="0" w:evenVBand="0" w:oddHBand="0" w:evenHBand="0" w:firstRowFirstColumn="0" w:firstRowLastColumn="0" w:lastRowFirstColumn="0" w:lastRowLastColumn="0"/>
              <w:rPr>
                <w:rFonts w:ascii="Calibri" w:hAnsi="Calibri"/>
                <w:b w:val="0"/>
                <w:sz w:val="20"/>
                <w:szCs w:val="22"/>
              </w:rPr>
            </w:pPr>
            <w:r w:rsidRPr="00B874F9">
              <w:rPr>
                <w:rFonts w:ascii="Calibri" w:hAnsi="Calibri"/>
                <w:b w:val="0"/>
                <w:sz w:val="20"/>
                <w:szCs w:val="22"/>
              </w:rPr>
              <w:t>Patients</w:t>
            </w:r>
          </w:p>
        </w:tc>
      </w:tr>
      <w:tr w:rsidR="00884CD7" w14:paraId="29094C1A" w14:textId="77777777" w:rsidTr="00855EB6">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548" w:type="dxa"/>
            <w:tcBorders>
              <w:top w:val="none" w:sz="0" w:space="0" w:color="auto"/>
              <w:left w:val="none" w:sz="0" w:space="0" w:color="auto"/>
              <w:bottom w:val="none" w:sz="0" w:space="0" w:color="auto"/>
            </w:tcBorders>
          </w:tcPr>
          <w:p w14:paraId="29C23626" w14:textId="77777777" w:rsidR="00884CD7" w:rsidRPr="006F280B" w:rsidRDefault="00884CD7" w:rsidP="00884CD7">
            <w:pPr>
              <w:spacing w:before="120"/>
              <w:rPr>
                <w:rFonts w:ascii="Calibri" w:hAnsi="Calibri"/>
                <w:b w:val="0"/>
                <w:sz w:val="22"/>
                <w:szCs w:val="22"/>
              </w:rPr>
            </w:pPr>
            <w:r w:rsidRPr="006F280B">
              <w:rPr>
                <w:rFonts w:ascii="Calibri" w:hAnsi="Calibri"/>
                <w:b w:val="0"/>
                <w:sz w:val="22"/>
                <w:szCs w:val="22"/>
              </w:rPr>
              <w:t>TUH EEG</w:t>
            </w:r>
          </w:p>
        </w:tc>
        <w:tc>
          <w:tcPr>
            <w:tcW w:w="806" w:type="dxa"/>
            <w:tcBorders>
              <w:top w:val="none" w:sz="0" w:space="0" w:color="auto"/>
              <w:bottom w:val="none" w:sz="0" w:space="0" w:color="auto"/>
            </w:tcBorders>
          </w:tcPr>
          <w:p w14:paraId="1AA420E1" w14:textId="77777777" w:rsidR="00884CD7" w:rsidRPr="00B874F9" w:rsidRDefault="00884CD7" w:rsidP="00884CD7">
            <w:pPr>
              <w:spacing w:before="120"/>
              <w:cnfStyle w:val="000000100000" w:firstRow="0" w:lastRow="0" w:firstColumn="0" w:lastColumn="0" w:oddVBand="0" w:evenVBand="0" w:oddHBand="1" w:evenHBand="0" w:firstRowFirstColumn="0" w:firstRowLastColumn="0" w:lastRowFirstColumn="0" w:lastRowLastColumn="0"/>
              <w:rPr>
                <w:rFonts w:ascii="Calibri" w:hAnsi="Calibri"/>
                <w:sz w:val="20"/>
                <w:szCs w:val="22"/>
              </w:rPr>
            </w:pPr>
            <w:r w:rsidRPr="009F6684">
              <w:rPr>
                <w:sz w:val="20"/>
                <w:szCs w:val="20"/>
              </w:rPr>
              <w:t>38,408</w:t>
            </w:r>
          </w:p>
        </w:tc>
        <w:tc>
          <w:tcPr>
            <w:tcW w:w="987" w:type="dxa"/>
            <w:tcBorders>
              <w:top w:val="none" w:sz="0" w:space="0" w:color="auto"/>
              <w:bottom w:val="none" w:sz="0" w:space="0" w:color="auto"/>
            </w:tcBorders>
          </w:tcPr>
          <w:p w14:paraId="258E1FBF" w14:textId="77777777" w:rsidR="00884CD7" w:rsidRPr="00B874F9" w:rsidRDefault="00884CD7" w:rsidP="00884CD7">
            <w:pPr>
              <w:spacing w:before="120"/>
              <w:cnfStyle w:val="000000100000" w:firstRow="0" w:lastRow="0" w:firstColumn="0" w:lastColumn="0" w:oddVBand="0" w:evenVBand="0" w:oddHBand="1" w:evenHBand="0" w:firstRowFirstColumn="0" w:firstRowLastColumn="0" w:lastRowFirstColumn="0" w:lastRowLastColumn="0"/>
              <w:rPr>
                <w:rFonts w:ascii="Calibri" w:hAnsi="Calibri"/>
                <w:sz w:val="20"/>
                <w:szCs w:val="22"/>
              </w:rPr>
            </w:pPr>
            <w:r w:rsidRPr="009F6684">
              <w:rPr>
                <w:sz w:val="20"/>
                <w:szCs w:val="20"/>
              </w:rPr>
              <w:t>16,982</w:t>
            </w:r>
          </w:p>
        </w:tc>
        <w:tc>
          <w:tcPr>
            <w:tcW w:w="969" w:type="dxa"/>
            <w:tcBorders>
              <w:top w:val="none" w:sz="0" w:space="0" w:color="auto"/>
              <w:bottom w:val="none" w:sz="0" w:space="0" w:color="auto"/>
              <w:right w:val="none" w:sz="0" w:space="0" w:color="auto"/>
            </w:tcBorders>
          </w:tcPr>
          <w:p w14:paraId="5864AB37" w14:textId="77777777" w:rsidR="00884CD7" w:rsidRPr="00B874F9" w:rsidRDefault="00884CD7" w:rsidP="00884CD7">
            <w:pPr>
              <w:spacing w:before="120"/>
              <w:cnfStyle w:val="000000100000" w:firstRow="0" w:lastRow="0" w:firstColumn="0" w:lastColumn="0" w:oddVBand="0" w:evenVBand="0" w:oddHBand="1" w:evenHBand="0" w:firstRowFirstColumn="0" w:firstRowLastColumn="0" w:lastRowFirstColumn="0" w:lastRowLastColumn="0"/>
              <w:rPr>
                <w:rFonts w:ascii="Calibri" w:hAnsi="Calibri"/>
                <w:sz w:val="20"/>
                <w:szCs w:val="22"/>
              </w:rPr>
            </w:pPr>
            <w:r w:rsidRPr="009F6684">
              <w:rPr>
                <w:sz w:val="20"/>
                <w:szCs w:val="20"/>
              </w:rPr>
              <w:t>10,868</w:t>
            </w:r>
          </w:p>
        </w:tc>
      </w:tr>
      <w:tr w:rsidR="00884CD7" w14:paraId="055426DA" w14:textId="77777777" w:rsidTr="00855EB6">
        <w:trPr>
          <w:trHeight w:val="427"/>
        </w:trPr>
        <w:tc>
          <w:tcPr>
            <w:cnfStyle w:val="001000000000" w:firstRow="0" w:lastRow="0" w:firstColumn="1" w:lastColumn="0" w:oddVBand="0" w:evenVBand="0" w:oddHBand="0" w:evenHBand="0" w:firstRowFirstColumn="0" w:firstRowLastColumn="0" w:lastRowFirstColumn="0" w:lastRowLastColumn="0"/>
            <w:tcW w:w="1548" w:type="dxa"/>
          </w:tcPr>
          <w:p w14:paraId="64B9433B" w14:textId="77777777" w:rsidR="00884CD7" w:rsidRPr="006F280B" w:rsidRDefault="00884CD7" w:rsidP="00884CD7">
            <w:pPr>
              <w:spacing w:before="120"/>
              <w:rPr>
                <w:rFonts w:ascii="Calibri" w:hAnsi="Calibri"/>
                <w:b w:val="0"/>
                <w:sz w:val="22"/>
                <w:szCs w:val="22"/>
              </w:rPr>
            </w:pPr>
            <w:r w:rsidRPr="006F280B">
              <w:rPr>
                <w:rFonts w:ascii="Calibri" w:hAnsi="Calibri"/>
                <w:b w:val="0"/>
                <w:sz w:val="22"/>
                <w:szCs w:val="22"/>
              </w:rPr>
              <w:t>Evaluation Dataset</w:t>
            </w:r>
          </w:p>
        </w:tc>
        <w:tc>
          <w:tcPr>
            <w:tcW w:w="806" w:type="dxa"/>
          </w:tcPr>
          <w:p w14:paraId="32551AB5" w14:textId="77777777" w:rsidR="00884CD7" w:rsidRPr="00B874F9" w:rsidRDefault="00884CD7" w:rsidP="00884CD7">
            <w:pPr>
              <w:spacing w:before="120"/>
              <w:cnfStyle w:val="000000000000" w:firstRow="0" w:lastRow="0" w:firstColumn="0" w:lastColumn="0" w:oddVBand="0" w:evenVBand="0" w:oddHBand="0" w:evenHBand="0" w:firstRowFirstColumn="0" w:firstRowLastColumn="0" w:lastRowFirstColumn="0" w:lastRowLastColumn="0"/>
              <w:rPr>
                <w:rFonts w:ascii="Calibri" w:hAnsi="Calibri"/>
                <w:sz w:val="20"/>
                <w:szCs w:val="22"/>
              </w:rPr>
            </w:pPr>
            <w:r>
              <w:rPr>
                <w:sz w:val="20"/>
                <w:szCs w:val="20"/>
              </w:rPr>
              <w:t>1052</w:t>
            </w:r>
          </w:p>
        </w:tc>
        <w:tc>
          <w:tcPr>
            <w:tcW w:w="987" w:type="dxa"/>
          </w:tcPr>
          <w:p w14:paraId="05EE574B" w14:textId="77777777" w:rsidR="00884CD7" w:rsidRPr="00B874F9" w:rsidRDefault="00884CD7" w:rsidP="00884CD7">
            <w:pPr>
              <w:spacing w:before="120"/>
              <w:cnfStyle w:val="000000000000" w:firstRow="0" w:lastRow="0" w:firstColumn="0" w:lastColumn="0" w:oddVBand="0" w:evenVBand="0" w:oddHBand="0" w:evenHBand="0" w:firstRowFirstColumn="0" w:firstRowLastColumn="0" w:lastRowFirstColumn="0" w:lastRowLastColumn="0"/>
              <w:rPr>
                <w:rFonts w:ascii="Calibri" w:hAnsi="Calibri"/>
                <w:sz w:val="20"/>
                <w:szCs w:val="22"/>
              </w:rPr>
            </w:pPr>
            <w:r>
              <w:rPr>
                <w:sz w:val="20"/>
                <w:szCs w:val="20"/>
              </w:rPr>
              <w:t>233</w:t>
            </w:r>
          </w:p>
        </w:tc>
        <w:tc>
          <w:tcPr>
            <w:tcW w:w="969" w:type="dxa"/>
          </w:tcPr>
          <w:p w14:paraId="23977AF1" w14:textId="77777777" w:rsidR="00884CD7" w:rsidRPr="00B874F9" w:rsidRDefault="00884CD7" w:rsidP="00884CD7">
            <w:pPr>
              <w:spacing w:before="120"/>
              <w:cnfStyle w:val="000000000000" w:firstRow="0" w:lastRow="0" w:firstColumn="0" w:lastColumn="0" w:oddVBand="0" w:evenVBand="0" w:oddHBand="0" w:evenHBand="0" w:firstRowFirstColumn="0" w:firstRowLastColumn="0" w:lastRowFirstColumn="0" w:lastRowLastColumn="0"/>
              <w:rPr>
                <w:rFonts w:ascii="Calibri" w:hAnsi="Calibri"/>
                <w:sz w:val="20"/>
                <w:szCs w:val="22"/>
              </w:rPr>
            </w:pPr>
            <w:r>
              <w:rPr>
                <w:sz w:val="20"/>
                <w:szCs w:val="20"/>
              </w:rPr>
              <w:t>50</w:t>
            </w:r>
          </w:p>
        </w:tc>
      </w:tr>
    </w:tbl>
    <w:p w14:paraId="6E96DA84" w14:textId="51775CB7" w:rsidR="00FA19D0" w:rsidRPr="00FA19D0" w:rsidRDefault="00BA7329" w:rsidP="00FA19D0">
      <w:pPr>
        <w:spacing w:before="120"/>
        <w:rPr>
          <w:rFonts w:ascii="Calibri" w:hAnsi="Calibri"/>
          <w:i/>
          <w:sz w:val="22"/>
          <w:szCs w:val="22"/>
        </w:rPr>
      </w:pPr>
      <w:r w:rsidRPr="00FA19D0">
        <w:rPr>
          <w:rFonts w:ascii="Calibri" w:hAnsi="Calibri"/>
          <w:i/>
          <w:sz w:val="22"/>
          <w:szCs w:val="22"/>
        </w:rPr>
        <w:t xml:space="preserve"> </w:t>
      </w:r>
      <w:r w:rsidR="00FA19D0" w:rsidRPr="00FA19D0">
        <w:rPr>
          <w:rFonts w:ascii="Calibri" w:hAnsi="Calibri"/>
          <w:i/>
          <w:sz w:val="22"/>
          <w:szCs w:val="22"/>
        </w:rPr>
        <w:t>Data Preparation</w:t>
      </w:r>
    </w:p>
    <w:p w14:paraId="1A592380" w14:textId="4CEC69AB" w:rsidR="00E444C5" w:rsidRDefault="00B874F9" w:rsidP="00884CD7">
      <w:pPr>
        <w:pStyle w:val="ListParagraph"/>
        <w:numPr>
          <w:ilvl w:val="0"/>
          <w:numId w:val="4"/>
        </w:numPr>
        <w:spacing w:before="120"/>
        <w:rPr>
          <w:rFonts w:ascii="Calibri" w:hAnsi="Calibri"/>
          <w:sz w:val="22"/>
          <w:szCs w:val="22"/>
        </w:rPr>
      </w:pPr>
      <w:r>
        <w:rPr>
          <w:rFonts w:ascii="Calibri" w:hAnsi="Calibri"/>
          <w:sz w:val="22"/>
          <w:szCs w:val="22"/>
        </w:rPr>
        <w:t>A</w:t>
      </w:r>
      <w:r w:rsidRPr="00B874F9">
        <w:rPr>
          <w:rFonts w:ascii="Calibri" w:hAnsi="Calibri"/>
          <w:sz w:val="22"/>
          <w:szCs w:val="22"/>
        </w:rPr>
        <w:t xml:space="preserve"> semi-automated strategy to label seizures</w:t>
      </w:r>
      <w:r>
        <w:rPr>
          <w:rFonts w:ascii="Calibri" w:hAnsi="Calibri"/>
          <w:sz w:val="22"/>
          <w:szCs w:val="22"/>
        </w:rPr>
        <w:t xml:space="preserve"> was implemented </w:t>
      </w:r>
      <w:r w:rsidR="00FA19D0">
        <w:rPr>
          <w:rFonts w:ascii="Calibri" w:hAnsi="Calibri"/>
          <w:sz w:val="22"/>
          <w:szCs w:val="22"/>
        </w:rPr>
        <w:t>and</w:t>
      </w:r>
      <w:r>
        <w:rPr>
          <w:rFonts w:ascii="Calibri" w:hAnsi="Calibri"/>
          <w:sz w:val="22"/>
          <w:szCs w:val="22"/>
        </w:rPr>
        <w:t xml:space="preserve"> </w:t>
      </w:r>
      <w:r w:rsidR="00FA19D0">
        <w:rPr>
          <w:rFonts w:ascii="Calibri" w:hAnsi="Calibri"/>
          <w:sz w:val="22"/>
          <w:szCs w:val="22"/>
        </w:rPr>
        <w:t xml:space="preserve">identified an evaluation dataset consisting of 50 patients with seizures. </w:t>
      </w:r>
    </w:p>
    <w:p w14:paraId="7D3E0C47" w14:textId="750C2E2F" w:rsidR="00E444C5" w:rsidRDefault="00246320" w:rsidP="00884CD7">
      <w:pPr>
        <w:pStyle w:val="ListParagraph"/>
        <w:numPr>
          <w:ilvl w:val="0"/>
          <w:numId w:val="4"/>
        </w:numPr>
        <w:rPr>
          <w:rFonts w:ascii="Calibri" w:hAnsi="Calibri"/>
          <w:sz w:val="22"/>
          <w:szCs w:val="22"/>
        </w:rPr>
      </w:pPr>
      <w:r>
        <w:rPr>
          <w:rFonts w:ascii="Calibri" w:hAnsi="Calibri"/>
          <w:sz w:val="22"/>
          <w:szCs w:val="22"/>
        </w:rPr>
        <w:t xml:space="preserve"> </w:t>
      </w:r>
      <w:r w:rsidR="00FA19D0">
        <w:rPr>
          <w:rFonts w:ascii="Calibri" w:hAnsi="Calibri"/>
          <w:sz w:val="22"/>
          <w:szCs w:val="22"/>
        </w:rPr>
        <w:t xml:space="preserve">This dataset was evaluated at Temple University to facilitate algorithm development. </w:t>
      </w:r>
    </w:p>
    <w:p w14:paraId="4F4266DC" w14:textId="00AB7BF4" w:rsidR="00E444C5" w:rsidRPr="00E444C5" w:rsidRDefault="00FA19D0" w:rsidP="00884CD7">
      <w:pPr>
        <w:pStyle w:val="ListParagraph"/>
        <w:numPr>
          <w:ilvl w:val="0"/>
          <w:numId w:val="4"/>
        </w:numPr>
        <w:spacing w:before="120"/>
        <w:rPr>
          <w:rFonts w:ascii="Calibri" w:hAnsi="Calibri"/>
          <w:sz w:val="22"/>
          <w:szCs w:val="22"/>
        </w:rPr>
      </w:pPr>
      <w:r>
        <w:rPr>
          <w:rFonts w:ascii="Calibri" w:hAnsi="Calibri"/>
          <w:sz w:val="22"/>
          <w:szCs w:val="22"/>
        </w:rPr>
        <w:t xml:space="preserve">Twenty (20) neurologists have been identified to annotate the data, and each patient is being annotated by 3 neurologists to address the topic of inter-rater agreement. </w:t>
      </w:r>
    </w:p>
    <w:p w14:paraId="42207A58" w14:textId="7FD24105" w:rsidR="00E444C5" w:rsidRDefault="00FA19D0" w:rsidP="00FA19D0">
      <w:pPr>
        <w:spacing w:before="120"/>
        <w:rPr>
          <w:rFonts w:ascii="Calibri" w:hAnsi="Calibri"/>
          <w:i/>
          <w:sz w:val="22"/>
          <w:szCs w:val="22"/>
        </w:rPr>
      </w:pPr>
      <w:r>
        <w:rPr>
          <w:rFonts w:ascii="Calibri" w:hAnsi="Calibri"/>
          <w:i/>
          <w:sz w:val="22"/>
          <w:szCs w:val="22"/>
        </w:rPr>
        <w:t>Baseline Technology Evaluation</w:t>
      </w:r>
      <w:bookmarkStart w:id="0" w:name="_GoBack"/>
      <w:bookmarkEnd w:id="0"/>
    </w:p>
    <w:tbl>
      <w:tblPr>
        <w:tblStyle w:val="LightList-Accent3"/>
        <w:tblpPr w:leftFromText="180" w:rightFromText="180" w:vertAnchor="page" w:horzAnchor="margin" w:tblpXSpec="right" w:tblpY="7340"/>
        <w:tblW w:w="423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153"/>
        <w:gridCol w:w="939"/>
        <w:gridCol w:w="1138"/>
      </w:tblGrid>
      <w:tr w:rsidR="00301606" w14:paraId="367F84AF" w14:textId="77777777" w:rsidTr="00855EB6">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153" w:type="dxa"/>
          </w:tcPr>
          <w:p w14:paraId="7F3117FC" w14:textId="77777777" w:rsidR="00301606" w:rsidRPr="006F280B" w:rsidRDefault="00301606" w:rsidP="00301606">
            <w:pPr>
              <w:spacing w:before="120"/>
              <w:jc w:val="both"/>
              <w:rPr>
                <w:rFonts w:ascii="Calibri" w:hAnsi="Calibri"/>
                <w:b w:val="0"/>
                <w:sz w:val="20"/>
                <w:szCs w:val="22"/>
              </w:rPr>
            </w:pPr>
            <w:r w:rsidRPr="006F280B">
              <w:rPr>
                <w:rFonts w:ascii="Calibri" w:hAnsi="Calibri"/>
                <w:b w:val="0"/>
                <w:sz w:val="20"/>
                <w:szCs w:val="22"/>
              </w:rPr>
              <w:t>Description</w:t>
            </w:r>
          </w:p>
        </w:tc>
        <w:tc>
          <w:tcPr>
            <w:tcW w:w="939" w:type="dxa"/>
          </w:tcPr>
          <w:p w14:paraId="1972220C" w14:textId="77777777" w:rsidR="00301606" w:rsidRPr="006F280B" w:rsidRDefault="00301606" w:rsidP="00301606">
            <w:pPr>
              <w:spacing w:before="120"/>
              <w:jc w:val="both"/>
              <w:cnfStyle w:val="100000000000" w:firstRow="1" w:lastRow="0" w:firstColumn="0" w:lastColumn="0" w:oddVBand="0" w:evenVBand="0" w:oddHBand="0" w:evenHBand="0" w:firstRowFirstColumn="0" w:firstRowLastColumn="0" w:lastRowFirstColumn="0" w:lastRowLastColumn="0"/>
              <w:rPr>
                <w:rFonts w:ascii="Calibri" w:hAnsi="Calibri"/>
                <w:b w:val="0"/>
                <w:sz w:val="20"/>
                <w:szCs w:val="22"/>
              </w:rPr>
            </w:pPr>
            <w:r w:rsidRPr="006F280B">
              <w:rPr>
                <w:rFonts w:ascii="Calibri" w:hAnsi="Calibri"/>
                <w:b w:val="0"/>
                <w:sz w:val="20"/>
                <w:szCs w:val="22"/>
              </w:rPr>
              <w:t>Persyst</w:t>
            </w:r>
          </w:p>
        </w:tc>
        <w:tc>
          <w:tcPr>
            <w:tcW w:w="1138" w:type="dxa"/>
          </w:tcPr>
          <w:p w14:paraId="4A90F7CE" w14:textId="77777777" w:rsidR="00301606" w:rsidRPr="006F280B" w:rsidRDefault="00301606" w:rsidP="00301606">
            <w:pPr>
              <w:spacing w:before="120"/>
              <w:jc w:val="both"/>
              <w:cnfStyle w:val="100000000000" w:firstRow="1" w:lastRow="0" w:firstColumn="0" w:lastColumn="0" w:oddVBand="0" w:evenVBand="0" w:oddHBand="0" w:evenHBand="0" w:firstRowFirstColumn="0" w:firstRowLastColumn="0" w:lastRowFirstColumn="0" w:lastRowLastColumn="0"/>
              <w:rPr>
                <w:rFonts w:ascii="Calibri" w:hAnsi="Calibri"/>
                <w:b w:val="0"/>
                <w:sz w:val="20"/>
                <w:szCs w:val="22"/>
              </w:rPr>
            </w:pPr>
            <w:r w:rsidRPr="006F280B">
              <w:rPr>
                <w:rFonts w:ascii="Calibri" w:hAnsi="Calibri"/>
                <w:b w:val="0"/>
                <w:sz w:val="20"/>
                <w:szCs w:val="22"/>
              </w:rPr>
              <w:t>AutoEEG</w:t>
            </w:r>
          </w:p>
        </w:tc>
      </w:tr>
      <w:tr w:rsidR="00301606" w14:paraId="4AAB52B3" w14:textId="77777777" w:rsidTr="00855EB6">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153" w:type="dxa"/>
            <w:tcBorders>
              <w:top w:val="none" w:sz="0" w:space="0" w:color="auto"/>
              <w:left w:val="none" w:sz="0" w:space="0" w:color="auto"/>
              <w:bottom w:val="none" w:sz="0" w:space="0" w:color="auto"/>
            </w:tcBorders>
          </w:tcPr>
          <w:p w14:paraId="55120829" w14:textId="77777777" w:rsidR="00301606" w:rsidRPr="006F280B" w:rsidRDefault="00301606" w:rsidP="00301606">
            <w:pPr>
              <w:spacing w:before="120"/>
              <w:jc w:val="both"/>
              <w:rPr>
                <w:rFonts w:ascii="Calibri" w:hAnsi="Calibri"/>
                <w:b w:val="0"/>
                <w:sz w:val="22"/>
                <w:szCs w:val="22"/>
              </w:rPr>
            </w:pPr>
            <w:r w:rsidRPr="006F280B">
              <w:rPr>
                <w:rFonts w:ascii="Calibri" w:hAnsi="Calibri"/>
                <w:b w:val="0"/>
                <w:sz w:val="22"/>
                <w:szCs w:val="22"/>
              </w:rPr>
              <w:t>Sensitivity</w:t>
            </w:r>
          </w:p>
        </w:tc>
        <w:tc>
          <w:tcPr>
            <w:tcW w:w="939" w:type="dxa"/>
            <w:tcBorders>
              <w:top w:val="none" w:sz="0" w:space="0" w:color="auto"/>
              <w:bottom w:val="none" w:sz="0" w:space="0" w:color="auto"/>
            </w:tcBorders>
          </w:tcPr>
          <w:p w14:paraId="2FCFFDE3" w14:textId="77777777" w:rsidR="00301606" w:rsidRPr="006F280B" w:rsidRDefault="00301606" w:rsidP="00301606">
            <w:pPr>
              <w:spacing w:before="120"/>
              <w:jc w:val="both"/>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6F280B">
              <w:rPr>
                <w:rFonts w:ascii="Calibri" w:hAnsi="Calibri"/>
                <w:bCs/>
                <w:sz w:val="22"/>
                <w:szCs w:val="22"/>
              </w:rPr>
              <w:t>47.0%</w:t>
            </w:r>
          </w:p>
        </w:tc>
        <w:tc>
          <w:tcPr>
            <w:tcW w:w="1138" w:type="dxa"/>
            <w:tcBorders>
              <w:top w:val="none" w:sz="0" w:space="0" w:color="auto"/>
              <w:bottom w:val="none" w:sz="0" w:space="0" w:color="auto"/>
              <w:right w:val="none" w:sz="0" w:space="0" w:color="auto"/>
            </w:tcBorders>
          </w:tcPr>
          <w:p w14:paraId="594BC401" w14:textId="77777777" w:rsidR="00301606" w:rsidRPr="006F280B" w:rsidRDefault="00301606" w:rsidP="00301606">
            <w:pPr>
              <w:spacing w:before="120"/>
              <w:jc w:val="both"/>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6F280B">
              <w:rPr>
                <w:rFonts w:ascii="Calibri" w:hAnsi="Calibri"/>
                <w:bCs/>
                <w:sz w:val="22"/>
                <w:szCs w:val="22"/>
              </w:rPr>
              <w:t>38.0%</w:t>
            </w:r>
          </w:p>
        </w:tc>
      </w:tr>
      <w:tr w:rsidR="00301606" w14:paraId="02514056" w14:textId="77777777" w:rsidTr="00855EB6">
        <w:trPr>
          <w:trHeight w:val="323"/>
        </w:trPr>
        <w:tc>
          <w:tcPr>
            <w:cnfStyle w:val="001000000000" w:firstRow="0" w:lastRow="0" w:firstColumn="1" w:lastColumn="0" w:oddVBand="0" w:evenVBand="0" w:oddHBand="0" w:evenHBand="0" w:firstRowFirstColumn="0" w:firstRowLastColumn="0" w:lastRowFirstColumn="0" w:lastRowLastColumn="0"/>
            <w:tcW w:w="2153" w:type="dxa"/>
          </w:tcPr>
          <w:p w14:paraId="29906BEE" w14:textId="77777777" w:rsidR="00301606" w:rsidRPr="006F280B" w:rsidRDefault="00301606" w:rsidP="00301606">
            <w:pPr>
              <w:spacing w:before="120"/>
              <w:jc w:val="both"/>
              <w:rPr>
                <w:rFonts w:ascii="Calibri" w:hAnsi="Calibri"/>
                <w:b w:val="0"/>
                <w:sz w:val="22"/>
                <w:szCs w:val="22"/>
              </w:rPr>
            </w:pPr>
            <w:r w:rsidRPr="006F280B">
              <w:rPr>
                <w:rFonts w:ascii="Calibri" w:hAnsi="Calibri"/>
                <w:b w:val="0"/>
                <w:sz w:val="22"/>
                <w:szCs w:val="22"/>
              </w:rPr>
              <w:t>Specificity</w:t>
            </w:r>
          </w:p>
        </w:tc>
        <w:tc>
          <w:tcPr>
            <w:tcW w:w="939" w:type="dxa"/>
          </w:tcPr>
          <w:p w14:paraId="24894734" w14:textId="77777777" w:rsidR="00301606" w:rsidRPr="006F280B" w:rsidRDefault="00301606" w:rsidP="00301606">
            <w:pPr>
              <w:spacing w:before="120"/>
              <w:jc w:val="both"/>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6F280B">
              <w:rPr>
                <w:rFonts w:ascii="Calibri" w:hAnsi="Calibri"/>
                <w:bCs/>
                <w:sz w:val="22"/>
                <w:szCs w:val="22"/>
              </w:rPr>
              <w:t>80.6%</w:t>
            </w:r>
          </w:p>
        </w:tc>
        <w:tc>
          <w:tcPr>
            <w:tcW w:w="1138" w:type="dxa"/>
          </w:tcPr>
          <w:p w14:paraId="417D6324" w14:textId="77777777" w:rsidR="00301606" w:rsidRPr="006F280B" w:rsidRDefault="00301606" w:rsidP="00301606">
            <w:pPr>
              <w:spacing w:before="120"/>
              <w:jc w:val="both"/>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6F280B">
              <w:rPr>
                <w:rFonts w:ascii="Calibri" w:hAnsi="Calibri"/>
                <w:bCs/>
                <w:sz w:val="22"/>
                <w:szCs w:val="22"/>
              </w:rPr>
              <w:t>78.7%</w:t>
            </w:r>
          </w:p>
        </w:tc>
      </w:tr>
      <w:tr w:rsidR="00301606" w14:paraId="08FA1B23" w14:textId="77777777" w:rsidTr="00855EB6">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153" w:type="dxa"/>
            <w:tcBorders>
              <w:top w:val="none" w:sz="0" w:space="0" w:color="auto"/>
              <w:left w:val="none" w:sz="0" w:space="0" w:color="auto"/>
              <w:bottom w:val="none" w:sz="0" w:space="0" w:color="auto"/>
            </w:tcBorders>
          </w:tcPr>
          <w:p w14:paraId="021DD812" w14:textId="77777777" w:rsidR="00301606" w:rsidRPr="006F280B" w:rsidRDefault="00301606" w:rsidP="00301606">
            <w:pPr>
              <w:spacing w:before="120"/>
              <w:jc w:val="both"/>
              <w:rPr>
                <w:rFonts w:ascii="Calibri" w:hAnsi="Calibri"/>
                <w:b w:val="0"/>
                <w:sz w:val="22"/>
                <w:szCs w:val="22"/>
              </w:rPr>
            </w:pPr>
            <w:r w:rsidRPr="006F280B">
              <w:rPr>
                <w:rFonts w:ascii="Calibri" w:hAnsi="Calibri"/>
                <w:b w:val="0"/>
                <w:sz w:val="22"/>
                <w:szCs w:val="22"/>
              </w:rPr>
              <w:t>ATWV</w:t>
            </w:r>
          </w:p>
        </w:tc>
        <w:tc>
          <w:tcPr>
            <w:tcW w:w="939" w:type="dxa"/>
            <w:tcBorders>
              <w:top w:val="none" w:sz="0" w:space="0" w:color="auto"/>
              <w:bottom w:val="none" w:sz="0" w:space="0" w:color="auto"/>
            </w:tcBorders>
          </w:tcPr>
          <w:p w14:paraId="4DF6E031" w14:textId="77777777" w:rsidR="00301606" w:rsidRPr="006F280B" w:rsidRDefault="00301606" w:rsidP="00301606">
            <w:pPr>
              <w:spacing w:before="120"/>
              <w:jc w:val="both"/>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6F280B">
              <w:rPr>
                <w:rFonts w:ascii="Calibri" w:hAnsi="Calibri"/>
                <w:bCs/>
                <w:sz w:val="22"/>
                <w:szCs w:val="22"/>
              </w:rPr>
              <w:t>+0.0732</w:t>
            </w:r>
          </w:p>
        </w:tc>
        <w:tc>
          <w:tcPr>
            <w:tcW w:w="1138" w:type="dxa"/>
            <w:tcBorders>
              <w:top w:val="none" w:sz="0" w:space="0" w:color="auto"/>
              <w:bottom w:val="none" w:sz="0" w:space="0" w:color="auto"/>
              <w:right w:val="none" w:sz="0" w:space="0" w:color="auto"/>
            </w:tcBorders>
          </w:tcPr>
          <w:p w14:paraId="13038460" w14:textId="77777777" w:rsidR="00301606" w:rsidRPr="006F280B" w:rsidRDefault="00301606" w:rsidP="00301606">
            <w:pPr>
              <w:spacing w:before="120"/>
              <w:jc w:val="both"/>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6F280B">
              <w:rPr>
                <w:rFonts w:ascii="Calibri" w:hAnsi="Calibri"/>
                <w:bCs/>
                <w:sz w:val="22"/>
                <w:szCs w:val="22"/>
              </w:rPr>
              <w:t>-0.693</w:t>
            </w:r>
          </w:p>
        </w:tc>
      </w:tr>
      <w:tr w:rsidR="00301606" w14:paraId="43A04AC6" w14:textId="77777777" w:rsidTr="00855EB6">
        <w:trPr>
          <w:trHeight w:val="323"/>
        </w:trPr>
        <w:tc>
          <w:tcPr>
            <w:cnfStyle w:val="001000000000" w:firstRow="0" w:lastRow="0" w:firstColumn="1" w:lastColumn="0" w:oddVBand="0" w:evenVBand="0" w:oddHBand="0" w:evenHBand="0" w:firstRowFirstColumn="0" w:firstRowLastColumn="0" w:lastRowFirstColumn="0" w:lastRowLastColumn="0"/>
            <w:tcW w:w="2153" w:type="dxa"/>
          </w:tcPr>
          <w:p w14:paraId="7DEFD365" w14:textId="77777777" w:rsidR="00301606" w:rsidRPr="006F280B" w:rsidRDefault="00301606" w:rsidP="00301606">
            <w:pPr>
              <w:spacing w:before="120"/>
              <w:jc w:val="both"/>
              <w:rPr>
                <w:rFonts w:ascii="Calibri" w:hAnsi="Calibri"/>
                <w:b w:val="0"/>
                <w:sz w:val="22"/>
                <w:szCs w:val="22"/>
              </w:rPr>
            </w:pPr>
            <w:r w:rsidRPr="006F280B">
              <w:rPr>
                <w:rFonts w:ascii="Calibri" w:hAnsi="Calibri"/>
                <w:b w:val="0"/>
                <w:sz w:val="22"/>
                <w:szCs w:val="22"/>
              </w:rPr>
              <w:t>Seizure FAs/24 hrs</w:t>
            </w:r>
          </w:p>
        </w:tc>
        <w:tc>
          <w:tcPr>
            <w:tcW w:w="939" w:type="dxa"/>
          </w:tcPr>
          <w:p w14:paraId="748DC70B" w14:textId="77777777" w:rsidR="00301606" w:rsidRPr="006F280B" w:rsidRDefault="00301606" w:rsidP="00301606">
            <w:pPr>
              <w:spacing w:before="120"/>
              <w:jc w:val="both"/>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6F280B">
              <w:rPr>
                <w:rFonts w:ascii="Calibri" w:hAnsi="Calibri"/>
                <w:bCs/>
                <w:sz w:val="22"/>
                <w:szCs w:val="22"/>
              </w:rPr>
              <w:t>44</w:t>
            </w:r>
          </w:p>
        </w:tc>
        <w:tc>
          <w:tcPr>
            <w:tcW w:w="1138" w:type="dxa"/>
          </w:tcPr>
          <w:p w14:paraId="7E19ECD9" w14:textId="77777777" w:rsidR="00301606" w:rsidRPr="006F280B" w:rsidRDefault="00301606" w:rsidP="00301606">
            <w:pPr>
              <w:spacing w:before="120"/>
              <w:jc w:val="both"/>
              <w:cnfStyle w:val="000000000000" w:firstRow="0" w:lastRow="0" w:firstColumn="0" w:lastColumn="0" w:oddVBand="0" w:evenVBand="0" w:oddHBand="0" w:evenHBand="0" w:firstRowFirstColumn="0" w:firstRowLastColumn="0" w:lastRowFirstColumn="0" w:lastRowLastColumn="0"/>
              <w:rPr>
                <w:rFonts w:ascii="Calibri" w:hAnsi="Calibri"/>
                <w:bCs/>
                <w:sz w:val="22"/>
                <w:szCs w:val="22"/>
              </w:rPr>
            </w:pPr>
            <w:r w:rsidRPr="006F280B">
              <w:rPr>
                <w:rFonts w:ascii="Calibri" w:hAnsi="Calibri"/>
                <w:bCs/>
                <w:sz w:val="22"/>
                <w:szCs w:val="22"/>
              </w:rPr>
              <w:t>108</w:t>
            </w:r>
          </w:p>
        </w:tc>
      </w:tr>
      <w:tr w:rsidR="00301606" w14:paraId="2EEDB44B" w14:textId="77777777" w:rsidTr="00855EB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53" w:type="dxa"/>
            <w:tcBorders>
              <w:top w:val="none" w:sz="0" w:space="0" w:color="auto"/>
              <w:left w:val="none" w:sz="0" w:space="0" w:color="auto"/>
              <w:bottom w:val="none" w:sz="0" w:space="0" w:color="auto"/>
            </w:tcBorders>
          </w:tcPr>
          <w:p w14:paraId="77617733" w14:textId="77777777" w:rsidR="00301606" w:rsidRPr="006F280B" w:rsidRDefault="00301606" w:rsidP="00301606">
            <w:pPr>
              <w:spacing w:before="120"/>
              <w:jc w:val="both"/>
              <w:rPr>
                <w:rFonts w:ascii="Calibri" w:hAnsi="Calibri"/>
                <w:b w:val="0"/>
                <w:sz w:val="22"/>
                <w:szCs w:val="22"/>
              </w:rPr>
            </w:pPr>
            <w:r w:rsidRPr="006F280B">
              <w:rPr>
                <w:rFonts w:ascii="Calibri" w:hAnsi="Calibri"/>
                <w:b w:val="0"/>
                <w:sz w:val="22"/>
                <w:szCs w:val="22"/>
              </w:rPr>
              <w:t>Total FAs/24 hrs</w:t>
            </w:r>
          </w:p>
        </w:tc>
        <w:tc>
          <w:tcPr>
            <w:tcW w:w="939" w:type="dxa"/>
            <w:tcBorders>
              <w:top w:val="none" w:sz="0" w:space="0" w:color="auto"/>
              <w:bottom w:val="none" w:sz="0" w:space="0" w:color="auto"/>
            </w:tcBorders>
          </w:tcPr>
          <w:p w14:paraId="7126E798" w14:textId="77777777" w:rsidR="00301606" w:rsidRPr="006F280B" w:rsidRDefault="00301606" w:rsidP="00301606">
            <w:pPr>
              <w:spacing w:before="120"/>
              <w:jc w:val="both"/>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6F280B">
              <w:rPr>
                <w:rFonts w:ascii="Calibri" w:hAnsi="Calibri"/>
                <w:bCs/>
                <w:sz w:val="22"/>
                <w:szCs w:val="22"/>
              </w:rPr>
              <w:t>97</w:t>
            </w:r>
          </w:p>
        </w:tc>
        <w:tc>
          <w:tcPr>
            <w:tcW w:w="1138" w:type="dxa"/>
            <w:tcBorders>
              <w:top w:val="none" w:sz="0" w:space="0" w:color="auto"/>
              <w:bottom w:val="none" w:sz="0" w:space="0" w:color="auto"/>
              <w:right w:val="none" w:sz="0" w:space="0" w:color="auto"/>
            </w:tcBorders>
          </w:tcPr>
          <w:p w14:paraId="7C8FAD06" w14:textId="77777777" w:rsidR="00301606" w:rsidRPr="006F280B" w:rsidRDefault="00301606" w:rsidP="00301606">
            <w:pPr>
              <w:spacing w:before="120"/>
              <w:jc w:val="both"/>
              <w:cnfStyle w:val="000000100000" w:firstRow="0" w:lastRow="0" w:firstColumn="0" w:lastColumn="0" w:oddVBand="0" w:evenVBand="0" w:oddHBand="1" w:evenHBand="0" w:firstRowFirstColumn="0" w:firstRowLastColumn="0" w:lastRowFirstColumn="0" w:lastRowLastColumn="0"/>
              <w:rPr>
                <w:rFonts w:ascii="Calibri" w:hAnsi="Calibri"/>
                <w:bCs/>
                <w:sz w:val="22"/>
                <w:szCs w:val="22"/>
              </w:rPr>
            </w:pPr>
            <w:r w:rsidRPr="006F280B">
              <w:rPr>
                <w:rFonts w:ascii="Calibri" w:hAnsi="Calibri"/>
                <w:bCs/>
                <w:sz w:val="22"/>
                <w:szCs w:val="22"/>
              </w:rPr>
              <w:t>220</w:t>
            </w:r>
          </w:p>
        </w:tc>
      </w:tr>
    </w:tbl>
    <w:p w14:paraId="116F8F1F" w14:textId="540B2049" w:rsidR="00FA19D0" w:rsidRPr="00246320" w:rsidRDefault="00FA19D0" w:rsidP="00884CD7">
      <w:pPr>
        <w:pStyle w:val="ListParagraph"/>
        <w:numPr>
          <w:ilvl w:val="0"/>
          <w:numId w:val="5"/>
        </w:numPr>
        <w:spacing w:before="120"/>
        <w:rPr>
          <w:rFonts w:ascii="Calibri" w:hAnsi="Calibri"/>
          <w:i/>
          <w:sz w:val="22"/>
          <w:szCs w:val="22"/>
        </w:rPr>
      </w:pPr>
      <w:r>
        <w:rPr>
          <w:rFonts w:ascii="Calibri" w:hAnsi="Calibri"/>
          <w:sz w:val="22"/>
          <w:szCs w:val="22"/>
        </w:rPr>
        <w:t xml:space="preserve">To facilitate standard and comprehensive evaluation </w:t>
      </w:r>
      <w:r w:rsidR="00246320">
        <w:rPr>
          <w:rFonts w:ascii="Calibri" w:hAnsi="Calibri"/>
          <w:sz w:val="22"/>
          <w:szCs w:val="22"/>
        </w:rPr>
        <w:t xml:space="preserve">of seizure detection, we adopted a methodology developed by the National Institute of Standards and Technology (NIST) known as the NIST STD metric.  This metric is especially relevant for measuring seizure detection in an ICU environment because it combines both sensitivity and </w:t>
      </w:r>
      <w:r w:rsidR="00301606">
        <w:rPr>
          <w:rFonts w:ascii="Calibri" w:hAnsi="Calibri"/>
          <w:sz w:val="22"/>
          <w:szCs w:val="22"/>
        </w:rPr>
        <w:t>specificity.</w:t>
      </w:r>
    </w:p>
    <w:p w14:paraId="702F80C3" w14:textId="32F7E014" w:rsidR="00246320" w:rsidRPr="00BA7329" w:rsidRDefault="00246320" w:rsidP="00884CD7">
      <w:pPr>
        <w:pStyle w:val="ListParagraph"/>
        <w:numPr>
          <w:ilvl w:val="0"/>
          <w:numId w:val="5"/>
        </w:numPr>
        <w:spacing w:before="120"/>
        <w:rPr>
          <w:rFonts w:ascii="Calibri" w:hAnsi="Calibri"/>
          <w:i/>
          <w:sz w:val="22"/>
          <w:szCs w:val="22"/>
        </w:rPr>
      </w:pPr>
      <w:r>
        <w:rPr>
          <w:rFonts w:ascii="Calibri" w:hAnsi="Calibri"/>
          <w:sz w:val="22"/>
          <w:szCs w:val="22"/>
        </w:rPr>
        <w:t xml:space="preserve">A </w:t>
      </w:r>
      <w:r w:rsidR="00BA7329">
        <w:rPr>
          <w:rFonts w:ascii="Calibri" w:hAnsi="Calibri"/>
          <w:sz w:val="22"/>
          <w:szCs w:val="22"/>
        </w:rPr>
        <w:t>commercially available</w:t>
      </w:r>
      <w:r>
        <w:rPr>
          <w:rFonts w:ascii="Calibri" w:hAnsi="Calibri"/>
          <w:sz w:val="22"/>
          <w:szCs w:val="22"/>
        </w:rPr>
        <w:t xml:space="preserve"> seizure detection tool and an initial version of AutoEEG were evaluated using 30 patients from th</w:t>
      </w:r>
      <w:r w:rsidR="00BA7329">
        <w:rPr>
          <w:rFonts w:ascii="Calibri" w:hAnsi="Calibri"/>
          <w:sz w:val="22"/>
          <w:szCs w:val="22"/>
        </w:rPr>
        <w:t>e evaluation dataset, and a</w:t>
      </w:r>
      <w:r>
        <w:rPr>
          <w:rFonts w:ascii="Calibri" w:hAnsi="Calibri"/>
          <w:sz w:val="22"/>
          <w:szCs w:val="22"/>
        </w:rPr>
        <w:t xml:space="preserve"> NIST STD score was calculated for both systems. </w:t>
      </w:r>
    </w:p>
    <w:p w14:paraId="6B2CC546" w14:textId="1FCCAE7A" w:rsidR="00BA7329" w:rsidRDefault="00BA7329" w:rsidP="00884CD7">
      <w:pPr>
        <w:spacing w:before="120"/>
        <w:rPr>
          <w:rFonts w:ascii="Calibri" w:hAnsi="Calibri"/>
          <w:i/>
          <w:sz w:val="22"/>
          <w:szCs w:val="22"/>
        </w:rPr>
      </w:pPr>
      <w:r>
        <w:rPr>
          <w:rFonts w:ascii="Calibri" w:hAnsi="Calibri"/>
          <w:i/>
          <w:sz w:val="22"/>
          <w:szCs w:val="22"/>
        </w:rPr>
        <w:t>Algorithm Enhancement</w:t>
      </w:r>
    </w:p>
    <w:p w14:paraId="1AD2B093" w14:textId="5BD2607F" w:rsidR="00BA7329" w:rsidRPr="00BA7329" w:rsidRDefault="00BA7329" w:rsidP="00884CD7">
      <w:pPr>
        <w:pStyle w:val="ListParagraph"/>
        <w:numPr>
          <w:ilvl w:val="0"/>
          <w:numId w:val="6"/>
        </w:numPr>
        <w:spacing w:before="120"/>
        <w:rPr>
          <w:rFonts w:ascii="Calibri" w:hAnsi="Calibri"/>
          <w:sz w:val="22"/>
          <w:szCs w:val="22"/>
        </w:rPr>
      </w:pPr>
      <w:r>
        <w:rPr>
          <w:rFonts w:ascii="Calibri" w:hAnsi="Calibri"/>
          <w:sz w:val="22"/>
          <w:szCs w:val="22"/>
        </w:rPr>
        <w:t xml:space="preserve">The </w:t>
      </w:r>
      <w:r w:rsidR="0092742C">
        <w:rPr>
          <w:rFonts w:ascii="Calibri" w:hAnsi="Calibri"/>
          <w:sz w:val="22"/>
          <w:szCs w:val="22"/>
        </w:rPr>
        <w:t xml:space="preserve">hidden Markov models and </w:t>
      </w:r>
      <w:r w:rsidR="00301606">
        <w:rPr>
          <w:rFonts w:ascii="Calibri" w:hAnsi="Calibri"/>
          <w:sz w:val="22"/>
          <w:szCs w:val="22"/>
        </w:rPr>
        <w:t>stacked denoising autoencoder</w:t>
      </w:r>
      <w:r>
        <w:rPr>
          <w:rFonts w:ascii="Calibri" w:hAnsi="Calibri"/>
          <w:sz w:val="22"/>
          <w:szCs w:val="22"/>
        </w:rPr>
        <w:t xml:space="preserve"> of the original AutoEEG is being replaced by a new deep learning network known as long short-term memory (LSTM) networks. </w:t>
      </w:r>
    </w:p>
    <w:p w14:paraId="47C01FB7" w14:textId="38F5E5F8" w:rsidR="001C7582" w:rsidRPr="00200507" w:rsidRDefault="001C7582" w:rsidP="00884CD7">
      <w:pPr>
        <w:spacing w:before="240"/>
        <w:rPr>
          <w:rFonts w:ascii="Calibri" w:hAnsi="Calibri"/>
          <w:b/>
          <w:sz w:val="22"/>
          <w:szCs w:val="22"/>
        </w:rPr>
      </w:pPr>
      <w:r w:rsidRPr="00200507">
        <w:rPr>
          <w:rFonts w:ascii="Calibri" w:hAnsi="Calibri"/>
          <w:b/>
          <w:sz w:val="22"/>
          <w:szCs w:val="22"/>
        </w:rPr>
        <w:t xml:space="preserve">About BioSignal Analytics, Inc. </w:t>
      </w:r>
    </w:p>
    <w:p w14:paraId="06B6A656" w14:textId="74CC9C55" w:rsidR="00354A61" w:rsidRPr="004D7C59" w:rsidRDefault="00A517D6" w:rsidP="00884CD7">
      <w:pPr>
        <w:spacing w:before="120" w:after="120"/>
        <w:rPr>
          <w:rFonts w:ascii="Calibri" w:hAnsi="Calibri"/>
          <w:sz w:val="22"/>
          <w:szCs w:val="22"/>
        </w:rPr>
      </w:pPr>
      <w:r w:rsidRPr="00A517D6">
        <w:rPr>
          <w:rFonts w:ascii="Calibri" w:hAnsi="Calibri"/>
          <w:bCs/>
          <w:sz w:val="22"/>
          <w:szCs w:val="22"/>
        </w:rPr>
        <w:t>BioSignal Analytics is dedicated to improving the quality of healthcare through the application of state of the art machine learning to provide clinical decision support and expand access to care.</w:t>
      </w:r>
      <w:r w:rsidRPr="00A517D6">
        <w:rPr>
          <w:rFonts w:ascii="Calibri" w:hAnsi="Calibri"/>
          <w:b/>
          <w:bCs/>
          <w:sz w:val="22"/>
          <w:szCs w:val="22"/>
        </w:rPr>
        <w:t xml:space="preserve"> </w:t>
      </w: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2"/>
        <w:gridCol w:w="4416"/>
      </w:tblGrid>
      <w:tr w:rsidR="00F60728" w14:paraId="1DEFF90E" w14:textId="77777777" w:rsidTr="00BA7329">
        <w:trPr>
          <w:trHeight w:val="203"/>
        </w:trPr>
        <w:tc>
          <w:tcPr>
            <w:tcW w:w="4512" w:type="dxa"/>
            <w:vAlign w:val="center"/>
          </w:tcPr>
          <w:p w14:paraId="540C9A3D" w14:textId="77777777" w:rsidR="00F60728" w:rsidRPr="0092742C" w:rsidRDefault="00F60728" w:rsidP="0092742C">
            <w:pPr>
              <w:rPr>
                <w:rFonts w:ascii="Calibri" w:hAnsi="Calibri"/>
                <w:sz w:val="20"/>
                <w:szCs w:val="20"/>
              </w:rPr>
            </w:pPr>
            <w:r w:rsidRPr="0092742C">
              <w:rPr>
                <w:rFonts w:ascii="Calibri" w:hAnsi="Calibri"/>
                <w:sz w:val="20"/>
                <w:szCs w:val="20"/>
              </w:rPr>
              <w:t>Joe Camaratta, Co-Founder and President</w:t>
            </w:r>
          </w:p>
          <w:p w14:paraId="01E5628C" w14:textId="153C60E5" w:rsidR="00354A61" w:rsidRPr="0092742C" w:rsidRDefault="00354A61" w:rsidP="0092742C">
            <w:pPr>
              <w:rPr>
                <w:rFonts w:ascii="Calibri" w:hAnsi="Calibri"/>
                <w:sz w:val="20"/>
                <w:szCs w:val="20"/>
              </w:rPr>
            </w:pPr>
            <w:r w:rsidRPr="0092742C">
              <w:rPr>
                <w:rFonts w:ascii="Calibri" w:hAnsi="Calibri"/>
                <w:sz w:val="20"/>
                <w:szCs w:val="20"/>
              </w:rPr>
              <w:t>joe.camaratta@biosignalanalytics.com</w:t>
            </w:r>
          </w:p>
        </w:tc>
        <w:tc>
          <w:tcPr>
            <w:tcW w:w="4416" w:type="dxa"/>
            <w:vAlign w:val="center"/>
          </w:tcPr>
          <w:p w14:paraId="58A319E0" w14:textId="3D9E7F9A" w:rsidR="00F60728" w:rsidRPr="0092742C" w:rsidRDefault="00354A61" w:rsidP="0092742C">
            <w:pPr>
              <w:rPr>
                <w:rFonts w:ascii="Calibri" w:hAnsi="Calibri"/>
                <w:bCs/>
                <w:sz w:val="20"/>
                <w:szCs w:val="20"/>
              </w:rPr>
            </w:pPr>
            <w:r w:rsidRPr="0092742C">
              <w:rPr>
                <w:rFonts w:ascii="Calibri" w:hAnsi="Calibri"/>
                <w:sz w:val="20"/>
                <w:szCs w:val="20"/>
              </w:rPr>
              <w:t xml:space="preserve">Meysam </w:t>
            </w:r>
            <w:r w:rsidRPr="0092742C">
              <w:rPr>
                <w:rFonts w:ascii="Calibri" w:hAnsi="Calibri"/>
                <w:bCs/>
                <w:sz w:val="20"/>
                <w:szCs w:val="20"/>
              </w:rPr>
              <w:t>Golmohammadi, Principal</w:t>
            </w:r>
            <w:r w:rsidR="00BA7329" w:rsidRPr="0092742C">
              <w:rPr>
                <w:rFonts w:ascii="Calibri" w:hAnsi="Calibri"/>
                <w:bCs/>
                <w:sz w:val="20"/>
                <w:szCs w:val="20"/>
              </w:rPr>
              <w:t xml:space="preserve"> Investigator</w:t>
            </w:r>
          </w:p>
          <w:p w14:paraId="58024317" w14:textId="6C327369" w:rsidR="00354A61" w:rsidRPr="0092742C" w:rsidRDefault="00354A61" w:rsidP="0092742C">
            <w:pPr>
              <w:rPr>
                <w:rFonts w:ascii="Calibri" w:hAnsi="Calibri"/>
                <w:sz w:val="20"/>
                <w:szCs w:val="20"/>
              </w:rPr>
            </w:pPr>
            <w:r w:rsidRPr="0092742C">
              <w:rPr>
                <w:rFonts w:ascii="Calibri" w:hAnsi="Calibri"/>
                <w:bCs/>
                <w:sz w:val="20"/>
                <w:szCs w:val="20"/>
              </w:rPr>
              <w:t>Meysam@temple.edu</w:t>
            </w:r>
          </w:p>
        </w:tc>
      </w:tr>
    </w:tbl>
    <w:p w14:paraId="3F083569" w14:textId="6BBBCABC" w:rsidR="001C7582" w:rsidRPr="00D43E3A" w:rsidRDefault="001C7582" w:rsidP="004D7C59">
      <w:pPr>
        <w:tabs>
          <w:tab w:val="left" w:pos="1515"/>
        </w:tabs>
        <w:spacing w:before="240"/>
        <w:rPr>
          <w:rFonts w:ascii="Calibri" w:hAnsi="Calibri"/>
        </w:rPr>
      </w:pPr>
    </w:p>
    <w:sectPr w:rsidR="001C7582" w:rsidRPr="00D43E3A" w:rsidSect="00FF1AA1">
      <w:headerReference w:type="default" r:id="rId8"/>
      <w:footerReference w:type="even" r:id="rId9"/>
      <w:footerReference w:type="default" r:id="rId10"/>
      <w:pgSz w:w="12240" w:h="15840"/>
      <w:pgMar w:top="1728" w:right="1728" w:bottom="1440" w:left="172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5BAE7" w14:textId="77777777" w:rsidR="00261DB5" w:rsidRDefault="00261DB5" w:rsidP="00FF1AA1">
      <w:r>
        <w:separator/>
      </w:r>
    </w:p>
  </w:endnote>
  <w:endnote w:type="continuationSeparator" w:id="0">
    <w:p w14:paraId="6FCC3ABC" w14:textId="77777777" w:rsidR="00261DB5" w:rsidRDefault="00261DB5" w:rsidP="00FF1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525D4" w14:textId="77777777" w:rsidR="00BA7329" w:rsidRDefault="00BA7329" w:rsidP="001F29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A923EF" w14:textId="77777777" w:rsidR="00BA7329" w:rsidRDefault="00BA7329" w:rsidP="00FF1A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28986" w14:textId="77777777" w:rsidR="00BA7329" w:rsidRDefault="00BA7329" w:rsidP="001F29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5EB6">
      <w:rPr>
        <w:rStyle w:val="PageNumber"/>
        <w:noProof/>
      </w:rPr>
      <w:t>1</w:t>
    </w:r>
    <w:r>
      <w:rPr>
        <w:rStyle w:val="PageNumber"/>
      </w:rPr>
      <w:fldChar w:fldCharType="end"/>
    </w:r>
  </w:p>
  <w:p w14:paraId="2436FDC3" w14:textId="77777777" w:rsidR="00BA7329" w:rsidRDefault="00BA7329" w:rsidP="00FF1AA1">
    <w:pPr>
      <w:pStyle w:val="Footer"/>
      <w:ind w:right="360"/>
      <w:rPr>
        <w:rFonts w:ascii="Helvetica" w:hAnsi="Helvetica"/>
        <w:sz w:val="18"/>
        <w:szCs w:val="18"/>
      </w:rPr>
    </w:pPr>
    <w:r>
      <w:rPr>
        <w:rFonts w:ascii="Helvetica" w:hAnsi="Helvetica"/>
        <w:sz w:val="18"/>
        <w:szCs w:val="18"/>
      </w:rPr>
      <w:tab/>
    </w:r>
  </w:p>
  <w:p w14:paraId="01E62156" w14:textId="681AD49E" w:rsidR="00BA7329" w:rsidRDefault="00BA7329" w:rsidP="00E138F9">
    <w:pPr>
      <w:pStyle w:val="Footer"/>
      <w:ind w:right="360"/>
      <w:jc w:val="center"/>
      <w:rPr>
        <w:rFonts w:ascii="Helvetica" w:hAnsi="Helvetica"/>
        <w:sz w:val="18"/>
        <w:szCs w:val="18"/>
      </w:rPr>
    </w:pPr>
    <w:r>
      <w:rPr>
        <w:rFonts w:ascii="Helvetica" w:hAnsi="Helvetica"/>
        <w:sz w:val="18"/>
        <w:szCs w:val="18"/>
      </w:rPr>
      <w:t>BioSignal Analytics, Inc.</w:t>
    </w:r>
  </w:p>
  <w:p w14:paraId="426C316F" w14:textId="4BB1409F" w:rsidR="00BA7329" w:rsidRDefault="00BA7329" w:rsidP="00E138F9">
    <w:pPr>
      <w:pStyle w:val="Footer"/>
      <w:ind w:right="360"/>
      <w:jc w:val="center"/>
      <w:rPr>
        <w:rFonts w:ascii="Helvetica" w:hAnsi="Helvetica"/>
        <w:sz w:val="18"/>
        <w:szCs w:val="18"/>
      </w:rPr>
    </w:pPr>
    <w:r>
      <w:rPr>
        <w:rFonts w:ascii="Helvetica" w:hAnsi="Helvetica"/>
        <w:sz w:val="18"/>
        <w:szCs w:val="18"/>
      </w:rPr>
      <w:t>3624 Market Street, Suite 5E, Philadelphia PA 19104</w:t>
    </w:r>
  </w:p>
  <w:p w14:paraId="3CCD2455" w14:textId="09C7C793" w:rsidR="00BA7329" w:rsidRPr="00E138F9" w:rsidRDefault="00261DB5" w:rsidP="00E138F9">
    <w:pPr>
      <w:pStyle w:val="Footer"/>
      <w:ind w:right="360"/>
      <w:jc w:val="center"/>
      <w:rPr>
        <w:rFonts w:ascii="Helvetica" w:hAnsi="Helvetica"/>
        <w:sz w:val="18"/>
        <w:szCs w:val="18"/>
      </w:rPr>
    </w:pPr>
    <w:hyperlink r:id="rId1" w:history="1">
      <w:r w:rsidR="00BA7329" w:rsidRPr="00A93CB7">
        <w:rPr>
          <w:rStyle w:val="Hyperlink"/>
          <w:sz w:val="20"/>
        </w:rPr>
        <w:t>www.biosignalanalytics.com</w:t>
      </w:r>
    </w:hyperlink>
    <w:r w:rsidR="00BA7329">
      <w:rPr>
        <w:sz w:val="20"/>
      </w:rPr>
      <w:t xml:space="preserve"> </w:t>
    </w:r>
  </w:p>
  <w:p w14:paraId="0D429939" w14:textId="6C94D186" w:rsidR="00BA7329" w:rsidRPr="00FF1AA1" w:rsidRDefault="00BA7329" w:rsidP="00FF1AA1">
    <w:pPr>
      <w:pStyle w:val="Footer"/>
      <w:ind w:right="360"/>
      <w:rPr>
        <w:rFonts w:ascii="Helvetica" w:hAnsi="Helvetic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5F7E8" w14:textId="77777777" w:rsidR="00261DB5" w:rsidRDefault="00261DB5" w:rsidP="00FF1AA1">
      <w:r>
        <w:separator/>
      </w:r>
    </w:p>
  </w:footnote>
  <w:footnote w:type="continuationSeparator" w:id="0">
    <w:p w14:paraId="5E6F9A28" w14:textId="77777777" w:rsidR="00261DB5" w:rsidRDefault="00261DB5" w:rsidP="00FF1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FF9B2" w14:textId="69A526DF" w:rsidR="00BA7329" w:rsidRDefault="00BA7329" w:rsidP="009E6D61">
    <w:pPr>
      <w:pStyle w:val="Header"/>
    </w:pPr>
    <w:r>
      <w:rPr>
        <w:noProof/>
      </w:rPr>
      <w:drawing>
        <wp:inline distT="0" distB="0" distL="0" distR="0" wp14:anchorId="7FD13A1C" wp14:editId="00896DE7">
          <wp:extent cx="1485900" cy="8610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_logo_name_highres.png"/>
                  <pic:cNvPicPr/>
                </pic:nvPicPr>
                <pic:blipFill>
                  <a:blip r:embed="rId1">
                    <a:extLst>
                      <a:ext uri="{28A0092B-C50C-407E-A947-70E740481C1C}">
                        <a14:useLocalDpi xmlns:a14="http://schemas.microsoft.com/office/drawing/2010/main" val="0"/>
                      </a:ext>
                    </a:extLst>
                  </a:blip>
                  <a:stretch>
                    <a:fillRect/>
                  </a:stretch>
                </pic:blipFill>
                <pic:spPr>
                  <a:xfrm>
                    <a:off x="0" y="0"/>
                    <a:ext cx="1486001" cy="86108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D5C10"/>
    <w:multiLevelType w:val="hybridMultilevel"/>
    <w:tmpl w:val="9B7C6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991841"/>
    <w:multiLevelType w:val="hybridMultilevel"/>
    <w:tmpl w:val="6B60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E77C0"/>
    <w:multiLevelType w:val="hybridMultilevel"/>
    <w:tmpl w:val="B8DA2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F067AE"/>
    <w:multiLevelType w:val="hybridMultilevel"/>
    <w:tmpl w:val="A020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3C3613"/>
    <w:multiLevelType w:val="hybridMultilevel"/>
    <w:tmpl w:val="76507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140D8A"/>
    <w:multiLevelType w:val="hybridMultilevel"/>
    <w:tmpl w:val="233AC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AA1"/>
    <w:rsid w:val="00015455"/>
    <w:rsid w:val="000B2DBB"/>
    <w:rsid w:val="000B67C4"/>
    <w:rsid w:val="00167B93"/>
    <w:rsid w:val="001A5944"/>
    <w:rsid w:val="001A6D86"/>
    <w:rsid w:val="001C7582"/>
    <w:rsid w:val="001F29FF"/>
    <w:rsid w:val="00200507"/>
    <w:rsid w:val="00227989"/>
    <w:rsid w:val="00246320"/>
    <w:rsid w:val="00261DB5"/>
    <w:rsid w:val="002B2CDF"/>
    <w:rsid w:val="00301606"/>
    <w:rsid w:val="00354A61"/>
    <w:rsid w:val="003B594B"/>
    <w:rsid w:val="003F5015"/>
    <w:rsid w:val="00496A56"/>
    <w:rsid w:val="004D7C59"/>
    <w:rsid w:val="005B2A9A"/>
    <w:rsid w:val="005C7403"/>
    <w:rsid w:val="00642A0F"/>
    <w:rsid w:val="006460C3"/>
    <w:rsid w:val="006C1CC6"/>
    <w:rsid w:val="006F280B"/>
    <w:rsid w:val="00776514"/>
    <w:rsid w:val="007A61F6"/>
    <w:rsid w:val="007E2391"/>
    <w:rsid w:val="00855EB6"/>
    <w:rsid w:val="00884CD7"/>
    <w:rsid w:val="00884D87"/>
    <w:rsid w:val="00920D30"/>
    <w:rsid w:val="0092742C"/>
    <w:rsid w:val="00941285"/>
    <w:rsid w:val="009E6D61"/>
    <w:rsid w:val="009F6684"/>
    <w:rsid w:val="00A517D6"/>
    <w:rsid w:val="00B874F9"/>
    <w:rsid w:val="00BA7329"/>
    <w:rsid w:val="00D43E3A"/>
    <w:rsid w:val="00E138F9"/>
    <w:rsid w:val="00E444C5"/>
    <w:rsid w:val="00E445CC"/>
    <w:rsid w:val="00E84042"/>
    <w:rsid w:val="00F2717E"/>
    <w:rsid w:val="00F60728"/>
    <w:rsid w:val="00F67901"/>
    <w:rsid w:val="00FA19D0"/>
    <w:rsid w:val="00FA3936"/>
    <w:rsid w:val="00FC052B"/>
    <w:rsid w:val="00FD19F1"/>
    <w:rsid w:val="00FF1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7D82A05"/>
  <w14:defaultImageDpi w14:val="300"/>
  <w15:docId w15:val="{C8343FC6-EA15-4C14-BF72-60446A13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AA1"/>
    <w:pPr>
      <w:tabs>
        <w:tab w:val="center" w:pos="4320"/>
        <w:tab w:val="right" w:pos="8640"/>
      </w:tabs>
    </w:pPr>
  </w:style>
  <w:style w:type="character" w:customStyle="1" w:styleId="HeaderChar">
    <w:name w:val="Header Char"/>
    <w:basedOn w:val="DefaultParagraphFont"/>
    <w:link w:val="Header"/>
    <w:uiPriority w:val="99"/>
    <w:rsid w:val="00FF1AA1"/>
    <w:rPr>
      <w:sz w:val="24"/>
      <w:szCs w:val="24"/>
      <w:lang w:eastAsia="en-US"/>
    </w:rPr>
  </w:style>
  <w:style w:type="paragraph" w:styleId="Footer">
    <w:name w:val="footer"/>
    <w:basedOn w:val="Normal"/>
    <w:link w:val="FooterChar"/>
    <w:uiPriority w:val="99"/>
    <w:unhideWhenUsed/>
    <w:rsid w:val="00FF1AA1"/>
    <w:pPr>
      <w:tabs>
        <w:tab w:val="center" w:pos="4320"/>
        <w:tab w:val="right" w:pos="8640"/>
      </w:tabs>
    </w:pPr>
  </w:style>
  <w:style w:type="character" w:customStyle="1" w:styleId="FooterChar">
    <w:name w:val="Footer Char"/>
    <w:basedOn w:val="DefaultParagraphFont"/>
    <w:link w:val="Footer"/>
    <w:uiPriority w:val="99"/>
    <w:rsid w:val="00FF1AA1"/>
    <w:rPr>
      <w:sz w:val="24"/>
      <w:szCs w:val="24"/>
      <w:lang w:eastAsia="en-US"/>
    </w:rPr>
  </w:style>
  <w:style w:type="paragraph" w:styleId="BalloonText">
    <w:name w:val="Balloon Text"/>
    <w:basedOn w:val="Normal"/>
    <w:link w:val="BalloonTextChar"/>
    <w:uiPriority w:val="99"/>
    <w:semiHidden/>
    <w:unhideWhenUsed/>
    <w:rsid w:val="00FF1A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AA1"/>
    <w:rPr>
      <w:rFonts w:ascii="Lucida Grande" w:hAnsi="Lucida Grande" w:cs="Lucida Grande"/>
      <w:sz w:val="18"/>
      <w:szCs w:val="18"/>
      <w:lang w:eastAsia="en-US"/>
    </w:rPr>
  </w:style>
  <w:style w:type="character" w:styleId="Hyperlink">
    <w:name w:val="Hyperlink"/>
    <w:basedOn w:val="DefaultParagraphFont"/>
    <w:uiPriority w:val="99"/>
    <w:unhideWhenUsed/>
    <w:rsid w:val="00FF1AA1"/>
    <w:rPr>
      <w:color w:val="0000FF" w:themeColor="hyperlink"/>
      <w:u w:val="single"/>
    </w:rPr>
  </w:style>
  <w:style w:type="character" w:styleId="PageNumber">
    <w:name w:val="page number"/>
    <w:basedOn w:val="DefaultParagraphFont"/>
    <w:uiPriority w:val="99"/>
    <w:semiHidden/>
    <w:unhideWhenUsed/>
    <w:rsid w:val="00FF1AA1"/>
  </w:style>
  <w:style w:type="character" w:styleId="FollowedHyperlink">
    <w:name w:val="FollowedHyperlink"/>
    <w:basedOn w:val="DefaultParagraphFont"/>
    <w:uiPriority w:val="99"/>
    <w:semiHidden/>
    <w:unhideWhenUsed/>
    <w:rsid w:val="00E138F9"/>
    <w:rPr>
      <w:color w:val="800080" w:themeColor="followedHyperlink"/>
      <w:u w:val="single"/>
    </w:rPr>
  </w:style>
  <w:style w:type="paragraph" w:styleId="ListParagraph">
    <w:name w:val="List Paragraph"/>
    <w:basedOn w:val="Normal"/>
    <w:uiPriority w:val="34"/>
    <w:qFormat/>
    <w:rsid w:val="001F29FF"/>
    <w:pPr>
      <w:ind w:left="720"/>
      <w:contextualSpacing/>
    </w:pPr>
  </w:style>
  <w:style w:type="table" w:styleId="TableGrid">
    <w:name w:val="Table Grid"/>
    <w:basedOn w:val="TableNormal"/>
    <w:uiPriority w:val="59"/>
    <w:rsid w:val="00F60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link w:val="CaptionChar"/>
    <w:qFormat/>
    <w:rsid w:val="009F6684"/>
    <w:pPr>
      <w:spacing w:after="200"/>
    </w:pPr>
    <w:rPr>
      <w:rFonts w:eastAsia="Times New Roman"/>
      <w:b/>
      <w:bCs/>
      <w:color w:val="4F81BD"/>
      <w:sz w:val="18"/>
      <w:szCs w:val="18"/>
    </w:rPr>
  </w:style>
  <w:style w:type="character" w:customStyle="1" w:styleId="CaptionChar">
    <w:name w:val="Caption Char"/>
    <w:link w:val="Caption"/>
    <w:rsid w:val="009F6684"/>
    <w:rPr>
      <w:rFonts w:eastAsia="Times New Roman"/>
      <w:b/>
      <w:bCs/>
      <w:color w:val="4F81BD"/>
      <w:sz w:val="18"/>
      <w:szCs w:val="18"/>
      <w:lang w:eastAsia="en-US"/>
    </w:rPr>
  </w:style>
  <w:style w:type="character" w:styleId="CommentReference">
    <w:name w:val="annotation reference"/>
    <w:basedOn w:val="DefaultParagraphFont"/>
    <w:uiPriority w:val="99"/>
    <w:semiHidden/>
    <w:unhideWhenUsed/>
    <w:rsid w:val="00B874F9"/>
    <w:rPr>
      <w:sz w:val="18"/>
      <w:szCs w:val="18"/>
    </w:rPr>
  </w:style>
  <w:style w:type="paragraph" w:styleId="CommentText">
    <w:name w:val="annotation text"/>
    <w:basedOn w:val="Normal"/>
    <w:link w:val="CommentTextChar"/>
    <w:uiPriority w:val="99"/>
    <w:semiHidden/>
    <w:unhideWhenUsed/>
    <w:rsid w:val="00B874F9"/>
  </w:style>
  <w:style w:type="character" w:customStyle="1" w:styleId="CommentTextChar">
    <w:name w:val="Comment Text Char"/>
    <w:basedOn w:val="DefaultParagraphFont"/>
    <w:link w:val="CommentText"/>
    <w:uiPriority w:val="99"/>
    <w:semiHidden/>
    <w:rsid w:val="00B874F9"/>
    <w:rPr>
      <w:sz w:val="24"/>
      <w:szCs w:val="24"/>
      <w:lang w:eastAsia="en-US"/>
    </w:rPr>
  </w:style>
  <w:style w:type="paragraph" w:styleId="CommentSubject">
    <w:name w:val="annotation subject"/>
    <w:basedOn w:val="CommentText"/>
    <w:next w:val="CommentText"/>
    <w:link w:val="CommentSubjectChar"/>
    <w:uiPriority w:val="99"/>
    <w:semiHidden/>
    <w:unhideWhenUsed/>
    <w:rsid w:val="00B874F9"/>
    <w:rPr>
      <w:b/>
      <w:bCs/>
      <w:sz w:val="20"/>
      <w:szCs w:val="20"/>
    </w:rPr>
  </w:style>
  <w:style w:type="character" w:customStyle="1" w:styleId="CommentSubjectChar">
    <w:name w:val="Comment Subject Char"/>
    <w:basedOn w:val="CommentTextChar"/>
    <w:link w:val="CommentSubject"/>
    <w:uiPriority w:val="99"/>
    <w:semiHidden/>
    <w:rsid w:val="00B874F9"/>
    <w:rPr>
      <w:b/>
      <w:bCs/>
      <w:sz w:val="24"/>
      <w:szCs w:val="24"/>
      <w:lang w:eastAsia="en-US"/>
    </w:rPr>
  </w:style>
  <w:style w:type="table" w:styleId="LightList-Accent3">
    <w:name w:val="Light List Accent 3"/>
    <w:basedOn w:val="TableNormal"/>
    <w:uiPriority w:val="61"/>
    <w:rsid w:val="0024632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Revision">
    <w:name w:val="Revision"/>
    <w:hidden/>
    <w:uiPriority w:val="99"/>
    <w:semiHidden/>
    <w:rsid w:val="007A61F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268">
      <w:bodyDiv w:val="1"/>
      <w:marLeft w:val="0"/>
      <w:marRight w:val="0"/>
      <w:marTop w:val="0"/>
      <w:marBottom w:val="0"/>
      <w:divBdr>
        <w:top w:val="none" w:sz="0" w:space="0" w:color="auto"/>
        <w:left w:val="none" w:sz="0" w:space="0" w:color="auto"/>
        <w:bottom w:val="none" w:sz="0" w:space="0" w:color="auto"/>
        <w:right w:val="none" w:sz="0" w:space="0" w:color="auto"/>
      </w:divBdr>
      <w:divsChild>
        <w:div w:id="1304189362">
          <w:marLeft w:val="0"/>
          <w:marRight w:val="0"/>
          <w:marTop w:val="0"/>
          <w:marBottom w:val="0"/>
          <w:divBdr>
            <w:top w:val="none" w:sz="0" w:space="0" w:color="auto"/>
            <w:left w:val="none" w:sz="0" w:space="0" w:color="auto"/>
            <w:bottom w:val="none" w:sz="0" w:space="0" w:color="auto"/>
            <w:right w:val="none" w:sz="0" w:space="0" w:color="auto"/>
          </w:divBdr>
        </w:div>
        <w:div w:id="484518354">
          <w:marLeft w:val="0"/>
          <w:marRight w:val="0"/>
          <w:marTop w:val="0"/>
          <w:marBottom w:val="0"/>
          <w:divBdr>
            <w:top w:val="none" w:sz="0" w:space="0" w:color="auto"/>
            <w:left w:val="none" w:sz="0" w:space="0" w:color="auto"/>
            <w:bottom w:val="none" w:sz="0" w:space="0" w:color="auto"/>
            <w:right w:val="none" w:sz="0" w:space="0" w:color="auto"/>
          </w:divBdr>
        </w:div>
        <w:div w:id="1606618673">
          <w:marLeft w:val="0"/>
          <w:marRight w:val="0"/>
          <w:marTop w:val="0"/>
          <w:marBottom w:val="0"/>
          <w:divBdr>
            <w:top w:val="none" w:sz="0" w:space="0" w:color="auto"/>
            <w:left w:val="none" w:sz="0" w:space="0" w:color="auto"/>
            <w:bottom w:val="none" w:sz="0" w:space="0" w:color="auto"/>
            <w:right w:val="none" w:sz="0" w:space="0" w:color="auto"/>
          </w:divBdr>
        </w:div>
      </w:divsChild>
    </w:div>
    <w:div w:id="7210532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biosignalanalytic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CD13C-19A9-4501-B991-9DBA230F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Camaratta</dc:creator>
  <cp:keywords/>
  <dc:description/>
  <cp:lastModifiedBy>Meysam Golmohammadi</cp:lastModifiedBy>
  <cp:revision>10</cp:revision>
  <cp:lastPrinted>2016-09-18T14:14:00Z</cp:lastPrinted>
  <dcterms:created xsi:type="dcterms:W3CDTF">2016-12-05T21:27:00Z</dcterms:created>
  <dcterms:modified xsi:type="dcterms:W3CDTF">2016-12-09T05:24:00Z</dcterms:modified>
</cp:coreProperties>
</file>