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8EB" w:rsidRPr="0033735D" w:rsidRDefault="002F11E6" w:rsidP="00EE28EB">
      <w:pPr>
        <w:pStyle w:val="Title"/>
      </w:pPr>
      <w:r>
        <w:t xml:space="preserve">A </w:t>
      </w:r>
      <w:r w:rsidR="00A82AB2">
        <w:t>Nonlinear Mixture Autoregressive Model</w:t>
      </w:r>
      <w:r w:rsidR="00422DD7">
        <w:t xml:space="preserve"> f</w:t>
      </w:r>
      <w:r w:rsidR="00A82AB2">
        <w:t>or Spe</w:t>
      </w:r>
      <w:r w:rsidR="00422DD7">
        <w:t>aker</w:t>
      </w:r>
      <w:r w:rsidR="00A82AB2">
        <w:t xml:space="preserve"> </w:t>
      </w:r>
      <w:r w:rsidR="009C666A">
        <w:t>Recognition</w:t>
      </w:r>
    </w:p>
    <w:p w:rsidR="00EE28EB" w:rsidRPr="0033735D" w:rsidRDefault="00A82AB2">
      <w:pPr>
        <w:pStyle w:val="Author"/>
        <w:rPr>
          <w:vertAlign w:val="superscript"/>
        </w:rPr>
      </w:pPr>
      <w:r w:rsidRPr="00A82AB2">
        <w:t>S</w:t>
      </w:r>
      <w:r w:rsidR="000E02A1">
        <w:t>.</w:t>
      </w:r>
      <w:r>
        <w:t xml:space="preserve"> Srinivasan</w:t>
      </w:r>
      <w:r w:rsidRPr="00A82AB2">
        <w:rPr>
          <w:vertAlign w:val="superscript"/>
        </w:rPr>
        <w:t>1</w:t>
      </w:r>
      <w:r w:rsidRPr="00A82AB2">
        <w:t>, T</w:t>
      </w:r>
      <w:r w:rsidR="000E02A1">
        <w:t>.</w:t>
      </w:r>
      <w:r>
        <w:t xml:space="preserve"> </w:t>
      </w:r>
      <w:r w:rsidRPr="00A82AB2">
        <w:t>Ma</w:t>
      </w:r>
      <w:r w:rsidRPr="00A82AB2">
        <w:rPr>
          <w:vertAlign w:val="superscript"/>
        </w:rPr>
        <w:t>1</w:t>
      </w:r>
      <w:r w:rsidRPr="00A82AB2">
        <w:t>, D</w:t>
      </w:r>
      <w:r w:rsidR="000E02A1">
        <w:t>.</w:t>
      </w:r>
      <w:r>
        <w:t xml:space="preserve"> </w:t>
      </w:r>
      <w:r w:rsidRPr="00A82AB2">
        <w:t>May</w:t>
      </w:r>
      <w:r w:rsidRPr="00A82AB2">
        <w:rPr>
          <w:vertAlign w:val="superscript"/>
        </w:rPr>
        <w:t>1</w:t>
      </w:r>
      <w:r w:rsidRPr="00A82AB2">
        <w:t>, G</w:t>
      </w:r>
      <w:r w:rsidR="000E02A1">
        <w:t xml:space="preserve">. </w:t>
      </w:r>
      <w:r w:rsidRPr="00A82AB2">
        <w:t>Lazarou</w:t>
      </w:r>
      <w:r w:rsidRPr="00A82AB2">
        <w:rPr>
          <w:vertAlign w:val="superscript"/>
        </w:rPr>
        <w:t>2</w:t>
      </w:r>
      <w:r w:rsidRPr="00A82AB2">
        <w:t xml:space="preserve"> and J</w:t>
      </w:r>
      <w:r w:rsidR="000E02A1">
        <w:t>.</w:t>
      </w:r>
      <w:r>
        <w:t xml:space="preserve"> Picone</w:t>
      </w:r>
      <w:r w:rsidRPr="00A82AB2">
        <w:rPr>
          <w:vertAlign w:val="superscript"/>
        </w:rPr>
        <w:t>1</w:t>
      </w:r>
    </w:p>
    <w:p w:rsidR="00A82AB2" w:rsidRDefault="00EE28EB" w:rsidP="00A82AB2">
      <w:pPr>
        <w:pStyle w:val="Affiliation"/>
      </w:pPr>
      <w:r w:rsidRPr="0033735D">
        <w:rPr>
          <w:szCs w:val="24"/>
          <w:vertAlign w:val="superscript"/>
        </w:rPr>
        <w:t xml:space="preserve">1 </w:t>
      </w:r>
      <w:r w:rsidRPr="0033735D">
        <w:t xml:space="preserve">Department of </w:t>
      </w:r>
      <w:r w:rsidR="00A82AB2">
        <w:t>Electrical and Computer Eng., Mississippi State University, MS State, MS, USA</w:t>
      </w:r>
    </w:p>
    <w:p w:rsidR="00A82AB2" w:rsidRPr="00A82AB2" w:rsidRDefault="00A82AB2" w:rsidP="00A82AB2">
      <w:pPr>
        <w:pStyle w:val="Affiliation"/>
      </w:pPr>
      <w:r w:rsidRPr="00A82AB2">
        <w:rPr>
          <w:vertAlign w:val="superscript"/>
        </w:rPr>
        <w:t>2</w:t>
      </w:r>
      <w:r>
        <w:rPr>
          <w:vertAlign w:val="superscript"/>
        </w:rPr>
        <w:t xml:space="preserve"> </w:t>
      </w:r>
      <w:r>
        <w:t xml:space="preserve">New York City Transit </w:t>
      </w:r>
      <w:proofErr w:type="gramStart"/>
      <w:r>
        <w:t>Authority</w:t>
      </w:r>
      <w:proofErr w:type="gramEnd"/>
      <w:r>
        <w:t>, New York, New York, USA</w:t>
      </w:r>
    </w:p>
    <w:p w:rsidR="00EE28EB" w:rsidRPr="0033735D" w:rsidRDefault="00A82AB2" w:rsidP="00EE28EB">
      <w:pPr>
        <w:pStyle w:val="email"/>
      </w:pPr>
      <w:r w:rsidRPr="00A82AB2">
        <w:t>{ss754, tm334, dom5</w:t>
      </w:r>
      <w:r w:rsidR="00C57143">
        <w:t>}</w:t>
      </w:r>
      <w:r w:rsidR="0087534F">
        <w:t>@ece.msstate.edu</w:t>
      </w:r>
      <w:r w:rsidRPr="00A82AB2">
        <w:t xml:space="preserve">, </w:t>
      </w:r>
      <w:r w:rsidR="00C57143">
        <w:t>{</w:t>
      </w:r>
      <w:proofErr w:type="spellStart"/>
      <w:r w:rsidRPr="00A82AB2">
        <w:t>g</w:t>
      </w:r>
      <w:r w:rsidR="00C57143">
        <w:t>eorgios.lazarou</w:t>
      </w:r>
      <w:proofErr w:type="spellEnd"/>
      <w:r w:rsidR="00C57143">
        <w:t>,</w:t>
      </w:r>
      <w:r w:rsidRPr="00A82AB2">
        <w:t xml:space="preserve"> </w:t>
      </w:r>
      <w:proofErr w:type="spellStart"/>
      <w:r w:rsidR="00C57143">
        <w:t>joseph.</w:t>
      </w:r>
      <w:r w:rsidRPr="00A82AB2">
        <w:t>picone</w:t>
      </w:r>
      <w:proofErr w:type="spellEnd"/>
      <w:r w:rsidRPr="00A82AB2">
        <w:t>}@</w:t>
      </w:r>
      <w:r w:rsidR="00C57143">
        <w:t>gmail.com</w:t>
      </w:r>
    </w:p>
    <w:p w:rsidR="00552149" w:rsidRDefault="00552149">
      <w:pPr>
        <w:pStyle w:val="BodyText"/>
      </w:pPr>
    </w:p>
    <w:p w:rsidR="00EE28EB" w:rsidRPr="0033735D" w:rsidRDefault="00EE28EB" w:rsidP="00EE28EB">
      <w:pPr>
        <w:pStyle w:val="Affiliation"/>
        <w:sectPr w:rsidR="00EE28EB" w:rsidRPr="0033735D" w:rsidSect="003112A5">
          <w:footerReference w:type="even" r:id="rId8"/>
          <w:footnotePr>
            <w:numRestart w:val="eachPage"/>
          </w:footnotePr>
          <w:pgSz w:w="11907" w:h="16840" w:code="9"/>
          <w:pgMar w:top="1440" w:right="1281" w:bottom="1440" w:left="1077" w:header="0" w:footer="0" w:gutter="0"/>
          <w:cols w:space="544"/>
        </w:sectPr>
      </w:pPr>
    </w:p>
    <w:p w:rsidR="00EE28EB" w:rsidRPr="0033735D" w:rsidRDefault="00EE28EB" w:rsidP="00EE28EB">
      <w:pPr>
        <w:pStyle w:val="AbstractHeading"/>
      </w:pPr>
      <w:r w:rsidRPr="0033735D">
        <w:lastRenderedPageBreak/>
        <w:t>Abstract</w:t>
      </w:r>
    </w:p>
    <w:p w:rsidR="00552149" w:rsidRDefault="00A36269">
      <w:pPr>
        <w:pStyle w:val="BodyText"/>
      </w:pPr>
      <w:r w:rsidRPr="00A36269">
        <w:t>Gaussian mixture models</w:t>
      </w:r>
      <w:r w:rsidR="00121793">
        <w:t xml:space="preserve"> (GMMs) </w:t>
      </w:r>
      <w:r w:rsidR="00D1340F">
        <w:t xml:space="preserve">are </w:t>
      </w:r>
      <w:r w:rsidRPr="00A36269">
        <w:t>a very successf</w:t>
      </w:r>
      <w:r w:rsidR="00D1340F">
        <w:t xml:space="preserve">ul method </w:t>
      </w:r>
      <w:r w:rsidRPr="00A36269">
        <w:t>for modeling the distribution of</w:t>
      </w:r>
      <w:r w:rsidR="00422DD7">
        <w:t xml:space="preserve"> speaker features</w:t>
      </w:r>
      <w:r w:rsidR="0089729A">
        <w:t xml:space="preserve">. </w:t>
      </w:r>
      <w:r w:rsidR="00121793">
        <w:t>In this approach, t</w:t>
      </w:r>
      <w:r w:rsidR="00422DD7">
        <w:t xml:space="preserve">he dynamics of the </w:t>
      </w:r>
      <w:r w:rsidR="00A56793">
        <w:t>speech</w:t>
      </w:r>
      <w:r w:rsidR="00121793">
        <w:t xml:space="preserve"> spectrum </w:t>
      </w:r>
      <w:r w:rsidR="00422DD7">
        <w:t xml:space="preserve">are </w:t>
      </w:r>
      <w:r w:rsidR="00121793">
        <w:t xml:space="preserve">typically </w:t>
      </w:r>
      <w:r w:rsidR="00422DD7">
        <w:t xml:space="preserve">encapsulated </w:t>
      </w:r>
      <w:r w:rsidR="00121793">
        <w:t xml:space="preserve">in the feature vector through the use of derivatives. This model is limited by the assumption that </w:t>
      </w:r>
      <w:r w:rsidRPr="00A36269">
        <w:t xml:space="preserve">the </w:t>
      </w:r>
      <w:r w:rsidR="00D1340F">
        <w:t xml:space="preserve">dynamics of speech features are </w:t>
      </w:r>
      <w:r w:rsidRPr="00A36269">
        <w:t>linear and can be modeled with</w:t>
      </w:r>
      <w:r w:rsidR="00D1340F">
        <w:t xml:space="preserve"> static features and their </w:t>
      </w:r>
      <w:r w:rsidRPr="00A36269">
        <w:t xml:space="preserve">derivatives. In this paper, </w:t>
      </w:r>
      <w:r w:rsidR="00A56793">
        <w:t>a</w:t>
      </w:r>
      <w:r w:rsidRPr="00A36269">
        <w:t xml:space="preserve"> nonlinear mixture autoregressive model</w:t>
      </w:r>
      <w:r w:rsidR="00121793">
        <w:t xml:space="preserve"> (</w:t>
      </w:r>
      <w:proofErr w:type="spellStart"/>
      <w:r w:rsidR="00422DD7">
        <w:t>MixAR</w:t>
      </w:r>
      <w:proofErr w:type="spellEnd"/>
      <w:r w:rsidR="00121793">
        <w:t xml:space="preserve">) </w:t>
      </w:r>
      <w:r w:rsidR="00A56793">
        <w:t>is</w:t>
      </w:r>
      <w:r w:rsidR="00D1340F">
        <w:t xml:space="preserve"> used to </w:t>
      </w:r>
      <w:r w:rsidRPr="00A36269">
        <w:t>model</w:t>
      </w:r>
      <w:r w:rsidR="00D1340F">
        <w:t xml:space="preserve"> </w:t>
      </w:r>
      <w:r w:rsidR="00422DD7">
        <w:t>speaker feature</w:t>
      </w:r>
      <w:r w:rsidR="00121793">
        <w:t>s</w:t>
      </w:r>
      <w:r w:rsidR="0089729A">
        <w:t>.</w:t>
      </w:r>
      <w:r w:rsidR="00121793">
        <w:t xml:space="preserve"> </w:t>
      </w:r>
      <w:r w:rsidR="00A56793">
        <w:t xml:space="preserve">Experiments </w:t>
      </w:r>
      <w:r w:rsidR="00422DD7">
        <w:t xml:space="preserve">show that </w:t>
      </w:r>
      <w:proofErr w:type="spellStart"/>
      <w:r w:rsidR="00422DD7">
        <w:t>MixAR</w:t>
      </w:r>
      <w:proofErr w:type="spellEnd"/>
      <w:r w:rsidR="00422DD7">
        <w:t xml:space="preserve"> performs better than </w:t>
      </w:r>
      <w:r w:rsidR="00121793">
        <w:t xml:space="preserve">a </w:t>
      </w:r>
      <w:r w:rsidR="00422DD7">
        <w:t xml:space="preserve">GMM when </w:t>
      </w:r>
      <w:r w:rsidR="00121793">
        <w:t xml:space="preserve">the signal contains strong evidence of nonlinear behavior. </w:t>
      </w:r>
      <w:r w:rsidR="00422DD7">
        <w:t>On</w:t>
      </w:r>
      <w:r w:rsidR="00121793">
        <w:t xml:space="preserve"> the </w:t>
      </w:r>
      <w:r w:rsidR="006F6770">
        <w:t xml:space="preserve">2001 </w:t>
      </w:r>
      <w:proofErr w:type="gramStart"/>
      <w:r w:rsidR="00121793">
        <w:t xml:space="preserve">NIST  </w:t>
      </w:r>
      <w:r w:rsidR="0087534F">
        <w:t>S</w:t>
      </w:r>
      <w:r w:rsidR="00422DD7">
        <w:t>peaker</w:t>
      </w:r>
      <w:proofErr w:type="gramEnd"/>
      <w:r w:rsidR="00422DD7">
        <w:t xml:space="preserve"> </w:t>
      </w:r>
      <w:r w:rsidR="0087534F">
        <w:t>R</w:t>
      </w:r>
      <w:r w:rsidR="00121793">
        <w:t xml:space="preserve">ecognition </w:t>
      </w:r>
      <w:r w:rsidR="00524836">
        <w:t>Evaluation Corpus</w:t>
      </w:r>
      <w:r w:rsidR="00121793">
        <w:t xml:space="preserve">, </w:t>
      </w:r>
      <w:proofErr w:type="spellStart"/>
      <w:r w:rsidR="00422DD7">
        <w:t>MixAR</w:t>
      </w:r>
      <w:proofErr w:type="spellEnd"/>
      <w:r w:rsidR="00422DD7">
        <w:t xml:space="preserve"> is shown to </w:t>
      </w:r>
      <w:r w:rsidR="006C78BB">
        <w:t>lower the equal error rate by 10.6% relative</w:t>
      </w:r>
      <w:r w:rsidR="00121793">
        <w:t xml:space="preserve"> and uses significantly </w:t>
      </w:r>
      <w:r w:rsidR="00422DD7">
        <w:t>fewer parameters than GMM.</w:t>
      </w:r>
    </w:p>
    <w:p w:rsidR="0087534F" w:rsidRDefault="00EE28EB">
      <w:pPr>
        <w:pStyle w:val="Index"/>
      </w:pPr>
      <w:r w:rsidRPr="0033735D">
        <w:rPr>
          <w:b/>
        </w:rPr>
        <w:t>Index</w:t>
      </w:r>
      <w:r w:rsidR="00A76B17">
        <w:rPr>
          <w:b/>
        </w:rPr>
        <w:t> </w:t>
      </w:r>
      <w:r w:rsidRPr="0033735D">
        <w:rPr>
          <w:b/>
        </w:rPr>
        <w:t>Terms</w:t>
      </w:r>
      <w:r w:rsidRPr="0033735D">
        <w:t>:</w:t>
      </w:r>
      <w:r w:rsidR="00A76B17">
        <w:t> </w:t>
      </w:r>
      <w:r w:rsidR="00A36269">
        <w:t>mixture autoregressive models, spe</w:t>
      </w:r>
      <w:r w:rsidR="00422DD7">
        <w:t>aker verification</w:t>
      </w:r>
      <w:r w:rsidR="00A36269">
        <w:t>, nonlinear statistical modeling</w:t>
      </w:r>
    </w:p>
    <w:p w:rsidR="00736357" w:rsidRDefault="00EE28EB">
      <w:pPr>
        <w:pStyle w:val="Heading1"/>
      </w:pPr>
      <w:r w:rsidRPr="0033735D">
        <w:t>Introduction</w:t>
      </w:r>
    </w:p>
    <w:p w:rsidR="00B56FD3" w:rsidRDefault="00876636" w:rsidP="00762A86">
      <w:r>
        <w:t>The majority of spe</w:t>
      </w:r>
      <w:r w:rsidR="00912B5C">
        <w:t xml:space="preserve">aker </w:t>
      </w:r>
      <w:r w:rsidR="00182075">
        <w:t xml:space="preserve">recognition </w:t>
      </w:r>
      <w:r>
        <w:t xml:space="preserve">systems employ </w:t>
      </w:r>
      <w:r w:rsidR="000E10EF" w:rsidRPr="000E10EF">
        <w:t xml:space="preserve">a Gaussian mixture </w:t>
      </w:r>
      <w:r w:rsidR="00912B5C">
        <w:t>model (GMM) to capture</w:t>
      </w:r>
      <w:r w:rsidR="00182075">
        <w:t xml:space="preserve"> modalities in the </w:t>
      </w:r>
      <w:r w:rsidR="000E10EF" w:rsidRPr="000E10EF">
        <w:t>distribution</w:t>
      </w:r>
      <w:r w:rsidR="00912B5C">
        <w:t xml:space="preserve"> of features </w:t>
      </w:r>
      <w:r w:rsidR="00182075">
        <w:t>for a speaker</w:t>
      </w:r>
      <w:r w:rsidR="00DC6942">
        <w:t> </w:t>
      </w:r>
      <w:fldSimple w:instr=" REF _Ref195687689 \n  \* MERGEFORMAT ">
        <w:r w:rsidR="00720C71">
          <w:t>[1]</w:t>
        </w:r>
      </w:fldSimple>
      <w:r>
        <w:t>.</w:t>
      </w:r>
      <w:r w:rsidR="000E10EF">
        <w:t xml:space="preserve"> </w:t>
      </w:r>
      <w:r w:rsidR="00A402C0">
        <w:t xml:space="preserve">These systems typically employ a standard feature vector containing absolute spectral information (e.g., </w:t>
      </w:r>
      <w:proofErr w:type="spellStart"/>
      <w:proofErr w:type="gramStart"/>
      <w:r w:rsidR="00A402C0">
        <w:t>mel</w:t>
      </w:r>
      <w:proofErr w:type="spellEnd"/>
      <w:proofErr w:type="gramEnd"/>
      <w:r w:rsidR="00A402C0">
        <w:t xml:space="preserve"> frequency-scaled cepstral coefficients and energy) and the first and second derivatives of these features. This popular approach to feature extraction</w:t>
      </w:r>
      <w:r w:rsidR="005C512A">
        <w:t xml:space="preserve"> </w:t>
      </w:r>
      <w:r w:rsidR="00A402C0">
        <w:t>is often referred to as MFCC</w:t>
      </w:r>
      <w:r w:rsidR="00182075">
        <w:t xml:space="preserve"> features</w:t>
      </w:r>
      <w:r w:rsidR="00A402C0">
        <w:t xml:space="preserve">. </w:t>
      </w:r>
    </w:p>
    <w:p w:rsidR="004505F6" w:rsidRDefault="00182075" w:rsidP="00762A86">
      <w:pPr>
        <w:ind w:firstLine="270"/>
      </w:pPr>
      <w:r>
        <w:t xml:space="preserve">Despite the widespread </w:t>
      </w:r>
      <w:r w:rsidR="00876636">
        <w:t>popularity of this model, several</w:t>
      </w:r>
      <w:r>
        <w:t xml:space="preserve"> well-known </w:t>
      </w:r>
      <w:r w:rsidR="00876636">
        <w:t>deficiencies</w:t>
      </w:r>
      <w:r>
        <w:t xml:space="preserve"> exist </w:t>
      </w:r>
      <w:r w:rsidR="00D83D12">
        <w:fldChar w:fldCharType="begin"/>
      </w:r>
      <w:r w:rsidR="00DC6942">
        <w:instrText xml:space="preserve"> REF _Ref227667205 \r \h </w:instrText>
      </w:r>
      <w:r w:rsidR="00D83D12">
        <w:fldChar w:fldCharType="separate"/>
      </w:r>
      <w:r w:rsidR="00720C71">
        <w:t>[2]</w:t>
      </w:r>
      <w:r w:rsidR="00D83D12">
        <w:fldChar w:fldCharType="end"/>
      </w:r>
      <w:r>
        <w:t xml:space="preserve">. </w:t>
      </w:r>
      <w:r w:rsidR="00876636">
        <w:t xml:space="preserve">One particular drawback of </w:t>
      </w:r>
      <w:r w:rsidR="0087534F">
        <w:t xml:space="preserve">a </w:t>
      </w:r>
      <w:r w:rsidR="00876636">
        <w:t>GMM</w:t>
      </w:r>
      <w:r>
        <w:t xml:space="preserve"> </w:t>
      </w:r>
      <w:r w:rsidR="00912B5C">
        <w:t xml:space="preserve">that </w:t>
      </w:r>
      <w:r w:rsidR="000E10EF">
        <w:t xml:space="preserve">is the focus of this work </w:t>
      </w:r>
      <w:r w:rsidR="00876636">
        <w:t>is the assumption of conditional time-independence of speech features, i.e., for any state, the probability of observing a feature is assumed to be independent of previous frame features.</w:t>
      </w:r>
      <w:r w:rsidR="00A402C0">
        <w:t xml:space="preserve"> </w:t>
      </w:r>
      <w:r w:rsidR="000E10EF">
        <w:t>One popular approach to overcoming this deficiency is to include derivative information in the feature vector, as is done in the sta</w:t>
      </w:r>
      <w:r w:rsidR="00A402C0">
        <w:t xml:space="preserve">ndard </w:t>
      </w:r>
      <w:r w:rsidR="000E10EF">
        <w:t xml:space="preserve">MFCC feature vector. These derivatives capture information about the dynamics of the speech signal. </w:t>
      </w:r>
      <w:r w:rsidR="00876636">
        <w:t xml:space="preserve">It is well known that the use of dynamic information in MFCCs significantly enhances </w:t>
      </w:r>
      <w:r w:rsidR="0041210A">
        <w:t xml:space="preserve">speaker recognition </w:t>
      </w:r>
      <w:r w:rsidR="00876636">
        <w:t>performance</w:t>
      </w:r>
      <w:r>
        <w:t> </w:t>
      </w:r>
      <w:r w:rsidR="00D83D12">
        <w:fldChar w:fldCharType="begin"/>
      </w:r>
      <w:r w:rsidR="00DC6942">
        <w:instrText xml:space="preserve"> REF _Ref227667215 \r \h </w:instrText>
      </w:r>
      <w:r w:rsidR="00D83D12">
        <w:fldChar w:fldCharType="separate"/>
      </w:r>
      <w:r w:rsidR="00720C71">
        <w:t>[3]</w:t>
      </w:r>
      <w:r w:rsidR="00D83D12">
        <w:fldChar w:fldCharType="end"/>
      </w:r>
      <w:r w:rsidR="00876636">
        <w:t>.</w:t>
      </w:r>
    </w:p>
    <w:p w:rsidR="004505F6" w:rsidRDefault="00876636" w:rsidP="00762A86">
      <w:pPr>
        <w:ind w:firstLine="270"/>
      </w:pPr>
      <w:r>
        <w:t xml:space="preserve">However, the </w:t>
      </w:r>
      <w:r w:rsidR="00A402C0">
        <w:t xml:space="preserve">derivatives of the cepstral </w:t>
      </w:r>
      <w:r>
        <w:t>features are only a linear approximation of the actual dynamics of the static features.</w:t>
      </w:r>
      <w:r w:rsidR="00182075">
        <w:t xml:space="preserve"> </w:t>
      </w:r>
      <w:r>
        <w:t>Recent work suggests that speech signals have nonlinearities that could contain relevant in</w:t>
      </w:r>
      <w:r w:rsidR="005816DD">
        <w:t>formation for speech recognition </w:t>
      </w:r>
      <w:r w:rsidR="00D83D12">
        <w:fldChar w:fldCharType="begin"/>
      </w:r>
      <w:r w:rsidR="00D83D12">
        <w:instrText xml:space="preserve"> REF _Ref195687752 \n  \* MERGEFORMAT </w:instrText>
      </w:r>
      <w:r w:rsidR="00D83D12">
        <w:fldChar w:fldCharType="separate"/>
      </w:r>
      <w:r w:rsidR="00720C71">
        <w:t>[4</w:t>
      </w:r>
      <w:proofErr w:type="gramStart"/>
      <w:r w:rsidR="00720C71">
        <w:t>]</w:t>
      </w:r>
      <w:proofErr w:type="gramEnd"/>
      <w:r w:rsidR="00D83D12">
        <w:fldChar w:fldCharType="end"/>
      </w:r>
      <w:r w:rsidR="00D83D12">
        <w:fldChar w:fldCharType="begin"/>
      </w:r>
      <w:r w:rsidR="00F01C18">
        <w:instrText xml:space="preserve"> REF _Ref195687977 \r \h </w:instrText>
      </w:r>
      <w:r w:rsidR="00D83D12">
        <w:fldChar w:fldCharType="separate"/>
      </w:r>
      <w:r w:rsidR="00720C71">
        <w:t>[5]</w:t>
      </w:r>
      <w:r w:rsidR="00D83D12">
        <w:fldChar w:fldCharType="end"/>
      </w:r>
      <w:r>
        <w:t>. A common</w:t>
      </w:r>
      <w:r w:rsidR="005C512A">
        <w:t xml:space="preserve"> </w:t>
      </w:r>
      <w:r>
        <w:t>approach to exploit</w:t>
      </w:r>
      <w:r w:rsidR="00182075">
        <w:t xml:space="preserve"> </w:t>
      </w:r>
      <w:r>
        <w:t>nonlinear</w:t>
      </w:r>
      <w:r w:rsidR="00182075">
        <w:t xml:space="preserve">ities in </w:t>
      </w:r>
      <w:r>
        <w:t>speech</w:t>
      </w:r>
      <w:r w:rsidR="00182075">
        <w:t xml:space="preserve"> </w:t>
      </w:r>
      <w:r>
        <w:t>is to explicitly quantify the degree of nonlinearity using nonlinear invariants</w:t>
      </w:r>
      <w:r w:rsidR="005C512A">
        <w:t xml:space="preserve"> such as </w:t>
      </w:r>
      <w:proofErr w:type="spellStart"/>
      <w:r>
        <w:t>Lyapunov</w:t>
      </w:r>
      <w:proofErr w:type="spellEnd"/>
      <w:r>
        <w:t xml:space="preserve"> exponents, and to </w:t>
      </w:r>
      <w:r w:rsidR="00182075">
        <w:t xml:space="preserve">concatenate </w:t>
      </w:r>
      <w:r>
        <w:t xml:space="preserve">these with </w:t>
      </w:r>
      <w:r w:rsidR="00182075">
        <w:t xml:space="preserve">the </w:t>
      </w:r>
      <w:r>
        <w:t>MFCC</w:t>
      </w:r>
      <w:r w:rsidR="00182075">
        <w:t xml:space="preserve"> features </w:t>
      </w:r>
      <w:r w:rsidR="00D83D12">
        <w:fldChar w:fldCharType="begin"/>
      </w:r>
      <w:r w:rsidR="00DC6942">
        <w:instrText xml:space="preserve"> REF _Ref195687977 \r \h </w:instrText>
      </w:r>
      <w:r w:rsidR="00D83D12">
        <w:fldChar w:fldCharType="separate"/>
      </w:r>
      <w:r w:rsidR="00720C71">
        <w:t>[5]</w:t>
      </w:r>
      <w:r w:rsidR="00D83D12">
        <w:fldChar w:fldCharType="end"/>
      </w:r>
      <w:r w:rsidR="00182075">
        <w:t xml:space="preserve">. </w:t>
      </w:r>
      <w:r w:rsidR="00912B5C">
        <w:t>However, th</w:t>
      </w:r>
      <w:r w:rsidR="00182075">
        <w:t xml:space="preserve">is approach has produced only modest success on limited tasks, and has not fundamentally improved the robustness of the technology in extremely harsh </w:t>
      </w:r>
      <w:r w:rsidR="0041210A">
        <w:t xml:space="preserve">or mismatched </w:t>
      </w:r>
      <w:r w:rsidR="00182075">
        <w:t>operating environments </w:t>
      </w:r>
      <w:r w:rsidR="00D83D12">
        <w:fldChar w:fldCharType="begin"/>
      </w:r>
      <w:r w:rsidR="00DC6942">
        <w:instrText xml:space="preserve"> REF _Ref195687977 \r \h </w:instrText>
      </w:r>
      <w:r w:rsidR="00D83D12">
        <w:fldChar w:fldCharType="separate"/>
      </w:r>
      <w:r w:rsidR="00720C71">
        <w:t>[5]</w:t>
      </w:r>
      <w:r w:rsidR="00D83D12">
        <w:fldChar w:fldCharType="end"/>
      </w:r>
      <w:r w:rsidR="00182075">
        <w:t>.</w:t>
      </w:r>
    </w:p>
    <w:p w:rsidR="0005219D" w:rsidRDefault="00D83D12" w:rsidP="00762A86">
      <w:pPr>
        <w:ind w:firstLine="270"/>
      </w:pPr>
      <w:r>
        <w:rPr>
          <w:noProof/>
          <w:lang w:eastAsia="zh-TW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907" type="#_x0000_t202" style="position:absolute;left:0;text-align:left;margin-left:2094.5pt;margin-top:0;width:224.4pt;height:96.6pt;z-index:251655168;mso-wrap-distance-bottom:14.4pt;mso-position-horizontal:right;mso-position-horizontal-relative:margin;mso-position-vertical:bottom;mso-position-vertical-relative:margin;mso-width-relative:margin;mso-height-relative:margin" filled="f" stroked="f">
            <v:textbox style="mso-next-textbox:#_x0000_s1907" inset="0,,0,0">
              <w:txbxContent>
                <w:p w:rsidR="0087534F" w:rsidRDefault="0087534F" w:rsidP="00802472">
                  <w:pPr>
                    <w:pStyle w:val="Caption"/>
                    <w:spacing w:before="0" w:after="120"/>
                    <w:ind w:left="0" w:right="-29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2585925" cy="844550"/>
                        <wp:effectExtent l="19050" t="0" r="0" b="0"/>
                        <wp:docPr id="14" name="Picture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94267" cy="84727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7534F" w:rsidRDefault="0087534F" w:rsidP="00802472">
                  <w:pPr>
                    <w:pStyle w:val="Caption"/>
                    <w:spacing w:before="0"/>
                    <w:ind w:left="0" w:right="-29"/>
                  </w:pPr>
                  <w:bookmarkStart w:id="0" w:name="_Ref195688046"/>
                  <w:r>
                    <w:t xml:space="preserve">Figure </w:t>
                  </w:r>
                  <w:fldSimple w:instr=" SEQ Figure \* ARABIC ">
                    <w:r w:rsidR="00720C71">
                      <w:rPr>
                        <w:noProof/>
                      </w:rPr>
                      <w:t>1</w:t>
                    </w:r>
                  </w:fldSimple>
                  <w:bookmarkEnd w:id="0"/>
                  <w:r>
                    <w:t xml:space="preserve">: </w:t>
                  </w:r>
                  <w:r w:rsidRPr="00802472">
                    <w:rPr>
                      <w:i/>
                    </w:rPr>
                    <w:t xml:space="preserve">An overview of the </w:t>
                  </w:r>
                  <w:proofErr w:type="spellStart"/>
                  <w:r>
                    <w:rPr>
                      <w:i/>
                    </w:rPr>
                    <w:t>MixAR</w:t>
                  </w:r>
                  <w:proofErr w:type="spellEnd"/>
                  <w:r>
                    <w:rPr>
                      <w:i/>
                    </w:rPr>
                    <w:t xml:space="preserve"> </w:t>
                  </w:r>
                  <w:r w:rsidRPr="00802472">
                    <w:rPr>
                      <w:i/>
                    </w:rPr>
                    <w:t>approach.</w:t>
                  </w:r>
                </w:p>
              </w:txbxContent>
            </v:textbox>
            <w10:wrap type="square" anchorx="margin" anchory="margin"/>
          </v:shape>
        </w:pict>
      </w:r>
      <w:r w:rsidR="00876636">
        <w:t xml:space="preserve">In </w:t>
      </w:r>
      <w:r w:rsidR="00A56793">
        <w:t xml:space="preserve">this work, we apply a </w:t>
      </w:r>
      <w:r w:rsidR="00876636">
        <w:t>nonlinear mixture autoregressive model</w:t>
      </w:r>
      <w:r w:rsidR="00A37D88">
        <w:t xml:space="preserve">, </w:t>
      </w:r>
      <w:r w:rsidR="00182075">
        <w:t xml:space="preserve">known as </w:t>
      </w:r>
      <w:proofErr w:type="spellStart"/>
      <w:r w:rsidR="00A37D88">
        <w:t>MixAR</w:t>
      </w:r>
      <w:proofErr w:type="spellEnd"/>
      <w:r w:rsidR="00F01C18">
        <w:t> </w:t>
      </w:r>
      <w:r>
        <w:fldChar w:fldCharType="begin"/>
      </w:r>
      <w:r w:rsidR="00F01C18">
        <w:instrText xml:space="preserve"> REF _Ref227591299 \r \h </w:instrText>
      </w:r>
      <w:r>
        <w:fldChar w:fldCharType="separate"/>
      </w:r>
      <w:r w:rsidR="00720C71">
        <w:t>[7]</w:t>
      </w:r>
      <w:r>
        <w:fldChar w:fldCharType="end"/>
      </w:r>
      <w:r w:rsidR="00912B5C">
        <w:t>,</w:t>
      </w:r>
      <w:r w:rsidR="00C76851">
        <w:t xml:space="preserve"> </w:t>
      </w:r>
      <w:r w:rsidR="00876636">
        <w:t>to capture the nonlinear dynamics in</w:t>
      </w:r>
      <w:r w:rsidR="00667A65">
        <w:t xml:space="preserve"> the speech feature vector, </w:t>
      </w:r>
      <w:r w:rsidR="00C651F8">
        <w:t xml:space="preserve">as shown in </w:t>
      </w:r>
      <w:fldSimple w:instr=" REF _Ref195688046  \* MERGEFORMAT ">
        <w:r w:rsidR="00720C71">
          <w:t xml:space="preserve">Figure </w:t>
        </w:r>
        <w:r w:rsidR="00720C71">
          <w:rPr>
            <w:noProof/>
          </w:rPr>
          <w:t>1</w:t>
        </w:r>
      </w:fldSimple>
      <w:r w:rsidR="00876636">
        <w:t xml:space="preserve">. </w:t>
      </w:r>
      <w:r w:rsidR="00A56793">
        <w:t xml:space="preserve">Since </w:t>
      </w:r>
      <w:r w:rsidR="0087534F">
        <w:t xml:space="preserve">the </w:t>
      </w:r>
      <w:proofErr w:type="spellStart"/>
      <w:r w:rsidR="00A56793">
        <w:t>MixAR</w:t>
      </w:r>
      <w:proofErr w:type="spellEnd"/>
      <w:r w:rsidR="00A56793">
        <w:t xml:space="preserve"> model captures static as well as dynamic information </w:t>
      </w:r>
      <w:r w:rsidR="008C4126">
        <w:t xml:space="preserve">it can be used to capture all relevant information using only static features. </w:t>
      </w:r>
      <w:r w:rsidR="00667A65">
        <w:t xml:space="preserve">Our goal is to </w:t>
      </w:r>
      <w:r w:rsidR="008C4126">
        <w:t>reduce the number of parameters necessary to obtain the same or better performance as compared to a GMM</w:t>
      </w:r>
      <w:r w:rsidR="0087534F">
        <w:t xml:space="preserve">. </w:t>
      </w:r>
      <w:r w:rsidR="0005219D">
        <w:t xml:space="preserve">In addition, we hope that </w:t>
      </w:r>
      <w:r w:rsidR="0087534F">
        <w:t xml:space="preserve">the </w:t>
      </w:r>
      <w:proofErr w:type="spellStart"/>
      <w:r w:rsidR="0005219D">
        <w:t>MixAR</w:t>
      </w:r>
      <w:proofErr w:type="spellEnd"/>
      <w:r w:rsidR="0005219D">
        <w:t xml:space="preserve"> model would capture information in nonlinear dynamics of speech features that GMM cannot model, and improve </w:t>
      </w:r>
      <w:r w:rsidR="00667A65">
        <w:t xml:space="preserve">overall </w:t>
      </w:r>
      <w:r w:rsidR="0005219D">
        <w:t>speaker recognition performance.</w:t>
      </w:r>
    </w:p>
    <w:p w:rsidR="004505F6" w:rsidRDefault="00912B5C" w:rsidP="00762A86">
      <w:pPr>
        <w:ind w:firstLine="270"/>
      </w:pPr>
      <w:r>
        <w:t>Previous work</w:t>
      </w:r>
      <w:r w:rsidR="00667A65">
        <w:t> </w:t>
      </w:r>
      <w:r w:rsidR="00D83D12">
        <w:fldChar w:fldCharType="begin"/>
      </w:r>
      <w:r w:rsidR="00DC6942">
        <w:instrText xml:space="preserve"> REF _Ref195688609 \r \h </w:instrText>
      </w:r>
      <w:r w:rsidR="00D83D12">
        <w:fldChar w:fldCharType="separate"/>
      </w:r>
      <w:r w:rsidR="00720C71">
        <w:t>[8</w:t>
      </w:r>
      <w:proofErr w:type="gramStart"/>
      <w:r w:rsidR="00720C71">
        <w:t>]</w:t>
      </w:r>
      <w:proofErr w:type="gramEnd"/>
      <w:r w:rsidR="00D83D12">
        <w:fldChar w:fldCharType="end"/>
      </w:r>
      <w:r w:rsidR="00D83D12">
        <w:fldChar w:fldCharType="begin"/>
      </w:r>
      <w:r w:rsidR="00DC6942">
        <w:instrText xml:space="preserve"> REF _Ref195688649 \r \h </w:instrText>
      </w:r>
      <w:r w:rsidR="00D83D12">
        <w:fldChar w:fldCharType="separate"/>
      </w:r>
      <w:r w:rsidR="00720C71">
        <w:t>[9]</w:t>
      </w:r>
      <w:r w:rsidR="00D83D12">
        <w:fldChar w:fldCharType="end"/>
      </w:r>
      <w:r w:rsidR="00667A65">
        <w:t xml:space="preserve"> </w:t>
      </w:r>
      <w:r>
        <w:t>on mixture autoregressive modeling for speech ha</w:t>
      </w:r>
      <w:r w:rsidR="00667A65">
        <w:t xml:space="preserve">s </w:t>
      </w:r>
      <w:r>
        <w:t xml:space="preserve">been </w:t>
      </w:r>
      <w:r w:rsidR="00A56793">
        <w:t>in the</w:t>
      </w:r>
      <w:r w:rsidR="00667A65">
        <w:t xml:space="preserve"> context </w:t>
      </w:r>
      <w:r w:rsidR="00A56793">
        <w:t xml:space="preserve"> of hidden Markov models</w:t>
      </w:r>
      <w:r w:rsidR="0087534F">
        <w:t xml:space="preserve"> </w:t>
      </w:r>
      <w:r w:rsidR="00A56793">
        <w:t>for speech recognition</w:t>
      </w:r>
      <w:r>
        <w:t xml:space="preserve">. </w:t>
      </w:r>
      <w:r w:rsidR="00C76851">
        <w:t>O</w:t>
      </w:r>
      <w:r w:rsidR="00876636">
        <w:t>ne of the earliest applications of autoregressive</w:t>
      </w:r>
      <w:r w:rsidR="00667A65">
        <w:t xml:space="preserve"> </w:t>
      </w:r>
      <w:r w:rsidR="00876636">
        <w:t>HMMs</w:t>
      </w:r>
      <w:r w:rsidR="001A3E6A">
        <w:t> </w:t>
      </w:r>
      <w:r w:rsidR="005C170D">
        <w:t>(AR-HMMs)</w:t>
      </w:r>
      <w:r w:rsidR="001A3E6A">
        <w:t xml:space="preserve"> </w:t>
      </w:r>
      <w:r w:rsidR="00876636">
        <w:t xml:space="preserve">considered an autoregressive filter to model </w:t>
      </w:r>
      <w:r w:rsidR="005C170D">
        <w:t xml:space="preserve">state </w:t>
      </w:r>
      <w:r w:rsidR="00876636">
        <w:t xml:space="preserve">observations </w:t>
      </w:r>
      <w:r w:rsidR="005C170D">
        <w:t>in a 5-state HMM for speaker verification</w:t>
      </w:r>
      <w:r w:rsidR="00C76851">
        <w:t> </w:t>
      </w:r>
      <w:r w:rsidR="00D83D12">
        <w:fldChar w:fldCharType="begin"/>
      </w:r>
      <w:r w:rsidR="00B33EB1">
        <w:instrText xml:space="preserve"> REF _Ref195688609 \r \h </w:instrText>
      </w:r>
      <w:r w:rsidR="00D83D12">
        <w:fldChar w:fldCharType="separate"/>
      </w:r>
      <w:r w:rsidR="00720C71">
        <w:t>[8]</w:t>
      </w:r>
      <w:r w:rsidR="00D83D12">
        <w:fldChar w:fldCharType="end"/>
      </w:r>
      <w:r w:rsidR="00876636">
        <w:t>.</w:t>
      </w:r>
      <w:r w:rsidR="001A3E6A">
        <w:t xml:space="preserve"> </w:t>
      </w:r>
      <w:r w:rsidR="00002920">
        <w:t>A more recent investigation of AR-HMMs</w:t>
      </w:r>
      <w:r w:rsidR="001A3E6A">
        <w:t> </w:t>
      </w:r>
      <w:r w:rsidR="00D83D12">
        <w:fldChar w:fldCharType="begin"/>
      </w:r>
      <w:r w:rsidR="00B33EB1">
        <w:instrText xml:space="preserve"> REF _Ref195688649 \r \h </w:instrText>
      </w:r>
      <w:r w:rsidR="00D83D12">
        <w:fldChar w:fldCharType="separate"/>
      </w:r>
      <w:r w:rsidR="00720C71">
        <w:t>[9]</w:t>
      </w:r>
      <w:r w:rsidR="00D83D12">
        <w:fldChar w:fldCharType="end"/>
      </w:r>
      <w:r w:rsidR="001A3E6A">
        <w:t xml:space="preserve"> </w:t>
      </w:r>
      <w:r w:rsidR="00002920">
        <w:t>us</w:t>
      </w:r>
      <w:r w:rsidR="001A3E6A">
        <w:t xml:space="preserve">ed </w:t>
      </w:r>
      <w:r w:rsidR="00F86550">
        <w:t xml:space="preserve">a </w:t>
      </w:r>
      <w:r w:rsidR="00002920">
        <w:t>switching autoregressive process to capture signal correlations during state transitions</w:t>
      </w:r>
      <w:r w:rsidR="001A3E6A">
        <w:t xml:space="preserve">. </w:t>
      </w:r>
      <w:r w:rsidR="00002920">
        <w:t xml:space="preserve">Results on speech recognition showed that at best their model was only comparable to </w:t>
      </w:r>
      <w:r w:rsidR="00667A65">
        <w:t>an MFCC</w:t>
      </w:r>
      <w:r w:rsidR="00002920">
        <w:t xml:space="preserve">-based </w:t>
      </w:r>
      <w:r w:rsidR="00667A65">
        <w:t>H</w:t>
      </w:r>
      <w:r w:rsidR="00002920">
        <w:t>MM</w:t>
      </w:r>
      <w:r w:rsidR="00667A65">
        <w:t xml:space="preserve"> using a GMM observation model.</w:t>
      </w:r>
      <w:r w:rsidR="00A71FB4">
        <w:t xml:space="preserve"> Another model considered speech features as a GMM white noise process filtered through an autoregressive signal </w:t>
      </w:r>
      <w:r w:rsidR="00D83D12">
        <w:fldChar w:fldCharType="begin"/>
      </w:r>
      <w:r w:rsidR="007244F1">
        <w:instrText xml:space="preserve"> REF _Ref227670776 \r \h </w:instrText>
      </w:r>
      <w:r w:rsidR="00D83D12">
        <w:fldChar w:fldCharType="separate"/>
      </w:r>
      <w:r w:rsidR="00720C71">
        <w:t>[10]</w:t>
      </w:r>
      <w:r w:rsidR="00D83D12">
        <w:fldChar w:fldCharType="end"/>
      </w:r>
      <w:r w:rsidR="00A71FB4">
        <w:t>.</w:t>
      </w:r>
    </w:p>
    <w:p w:rsidR="004505F6" w:rsidRDefault="00876636" w:rsidP="00762A86">
      <w:pPr>
        <w:ind w:firstLine="270"/>
      </w:pPr>
      <w:r>
        <w:t>A</w:t>
      </w:r>
      <w:r w:rsidR="00667A65">
        <w:t xml:space="preserve"> </w:t>
      </w:r>
      <w:r>
        <w:t>more sophisticated model</w:t>
      </w:r>
      <w:r w:rsidR="0087534F">
        <w:t xml:space="preserve"> </w:t>
      </w:r>
      <w:r>
        <w:t>introduced in</w:t>
      </w:r>
      <w:r w:rsidR="00C76851">
        <w:t> </w:t>
      </w:r>
      <w:r w:rsidR="00D83D12">
        <w:fldChar w:fldCharType="begin"/>
      </w:r>
      <w:r w:rsidR="00D22640">
        <w:instrText xml:space="preserve"> REF _Ref195688560 \r \h </w:instrText>
      </w:r>
      <w:r w:rsidR="00D83D12">
        <w:fldChar w:fldCharType="separate"/>
      </w:r>
      <w:r w:rsidR="00720C71">
        <w:t>[11]</w:t>
      </w:r>
      <w:r w:rsidR="00D83D12">
        <w:fldChar w:fldCharType="end"/>
      </w:r>
      <w:r w:rsidR="00C76851">
        <w:t xml:space="preserve"> </w:t>
      </w:r>
      <w:r>
        <w:t>considers a mixture of autoregressive filters</w:t>
      </w:r>
      <w:r w:rsidR="0087534F">
        <w:t xml:space="preserve"> (MAR) </w:t>
      </w:r>
      <w:r>
        <w:t xml:space="preserve">for </w:t>
      </w:r>
      <w:r w:rsidR="00C76851">
        <w:t xml:space="preserve">the </w:t>
      </w:r>
      <w:r>
        <w:t xml:space="preserve">observation model. </w:t>
      </w:r>
      <w:r w:rsidR="00A56793">
        <w:t>Our earlier work </w:t>
      </w:r>
      <w:r w:rsidR="00D83D12">
        <w:fldChar w:fldCharType="begin"/>
      </w:r>
      <w:r w:rsidR="00D22640">
        <w:instrText xml:space="preserve"> REF _Ref227591256 \r \h </w:instrText>
      </w:r>
      <w:r w:rsidR="00D83D12">
        <w:fldChar w:fldCharType="separate"/>
      </w:r>
      <w:r w:rsidR="00720C71">
        <w:t>[6]</w:t>
      </w:r>
      <w:r w:rsidR="00D83D12">
        <w:fldChar w:fldCharType="end"/>
      </w:r>
      <w:r w:rsidR="00A56793">
        <w:t xml:space="preserve"> consider</w:t>
      </w:r>
      <w:r w:rsidR="0005219D">
        <w:t>ed</w:t>
      </w:r>
      <w:r w:rsidR="00A56793">
        <w:t xml:space="preserve"> this model for phone classification. </w:t>
      </w:r>
      <w:proofErr w:type="spellStart"/>
      <w:r w:rsidR="0005219D">
        <w:t>MixAR</w:t>
      </w:r>
      <w:proofErr w:type="spellEnd"/>
      <w:r w:rsidR="00D22640">
        <w:t> </w:t>
      </w:r>
      <w:r w:rsidR="00D83D12">
        <w:fldChar w:fldCharType="begin"/>
      </w:r>
      <w:r w:rsidR="00D22640">
        <w:instrText xml:space="preserve"> REF _Ref227591299 \r \h </w:instrText>
      </w:r>
      <w:r w:rsidR="00D83D12">
        <w:fldChar w:fldCharType="separate"/>
      </w:r>
      <w:r w:rsidR="00720C71">
        <w:t>[7]</w:t>
      </w:r>
      <w:r w:rsidR="00D83D12">
        <w:fldChar w:fldCharType="end"/>
      </w:r>
      <w:r w:rsidR="0005219D">
        <w:t xml:space="preserve"> is a generalization of MAR</w:t>
      </w:r>
      <w:r w:rsidR="00A56793">
        <w:t>, where</w:t>
      </w:r>
      <w:r w:rsidR="007C46D3">
        <w:t xml:space="preserve"> the mixture weights </w:t>
      </w:r>
      <w:r w:rsidR="0087534F">
        <w:t xml:space="preserve">are </w:t>
      </w:r>
      <w:r w:rsidR="007C46D3">
        <w:t xml:space="preserve">allowed to be time-varying and data-dependent. </w:t>
      </w:r>
      <w:r w:rsidR="00057C35">
        <w:t>All earlier applications</w:t>
      </w:r>
      <w:r w:rsidR="0087534F">
        <w:t xml:space="preserve"> of </w:t>
      </w:r>
      <w:proofErr w:type="spellStart"/>
      <w:r w:rsidR="00057C35">
        <w:t>MixAR</w:t>
      </w:r>
      <w:proofErr w:type="spellEnd"/>
      <w:r w:rsidR="00057C35">
        <w:t xml:space="preserve"> </w:t>
      </w:r>
      <w:r w:rsidR="00D22640">
        <w:t>and related models </w:t>
      </w:r>
      <w:r w:rsidR="00D83D12">
        <w:fldChar w:fldCharType="begin"/>
      </w:r>
      <w:r w:rsidR="00077CA1">
        <w:instrText xml:space="preserve"> REF _Ref227592330 \r \h </w:instrText>
      </w:r>
      <w:r w:rsidR="00D83D12">
        <w:fldChar w:fldCharType="separate"/>
      </w:r>
      <w:r w:rsidR="00720C71">
        <w:t>[12]</w:t>
      </w:r>
      <w:r w:rsidR="00D83D12">
        <w:fldChar w:fldCharType="end"/>
      </w:r>
      <w:r w:rsidR="00D22640">
        <w:t xml:space="preserve"> </w:t>
      </w:r>
      <w:r w:rsidR="00057C35">
        <w:t xml:space="preserve">have been in the context of time-series prediction. </w:t>
      </w:r>
      <w:r w:rsidR="007C46D3">
        <w:t>In this work, we apply</w:t>
      </w:r>
      <w:r w:rsidR="00667A65">
        <w:t xml:space="preserve"> the </w:t>
      </w:r>
      <w:proofErr w:type="spellStart"/>
      <w:r w:rsidR="00A56793">
        <w:t>MixAR</w:t>
      </w:r>
      <w:proofErr w:type="spellEnd"/>
      <w:r w:rsidR="00A56793">
        <w:t xml:space="preserve"> </w:t>
      </w:r>
      <w:r w:rsidR="007C46D3">
        <w:t xml:space="preserve">model </w:t>
      </w:r>
      <w:r w:rsidR="00667A65">
        <w:t xml:space="preserve">to feature vectors in a </w:t>
      </w:r>
      <w:r w:rsidR="007C46D3">
        <w:t xml:space="preserve">speaker </w:t>
      </w:r>
      <w:r w:rsidR="0087534F">
        <w:t xml:space="preserve">recognition </w:t>
      </w:r>
      <w:r w:rsidR="007C46D3">
        <w:t>task.</w:t>
      </w:r>
    </w:p>
    <w:p w:rsidR="00B56FD3" w:rsidRDefault="00876636" w:rsidP="00762A86">
      <w:pPr>
        <w:ind w:firstLine="270"/>
      </w:pPr>
      <w:r>
        <w:t>Th</w:t>
      </w:r>
      <w:r w:rsidR="00ED5254">
        <w:t xml:space="preserve">is paper </w:t>
      </w:r>
      <w:r>
        <w:t xml:space="preserve">is organized as follows. In </w:t>
      </w:r>
      <w:r w:rsidR="00ED5254">
        <w:t>Section </w:t>
      </w:r>
      <w:fldSimple w:instr=" REF _Ref195688962 \n  \* MERGEFORMAT ">
        <w:r w:rsidR="00720C71">
          <w:t>2</w:t>
        </w:r>
      </w:fldSimple>
      <w:r w:rsidR="00ED5254">
        <w:t xml:space="preserve"> </w:t>
      </w:r>
      <w:r>
        <w:t xml:space="preserve">we </w:t>
      </w:r>
      <w:r w:rsidR="00A56793">
        <w:t>describe</w:t>
      </w:r>
      <w:r w:rsidR="00ED5254">
        <w:t xml:space="preserve"> </w:t>
      </w:r>
      <w:r w:rsidR="00A56793">
        <w:t xml:space="preserve">the </w:t>
      </w:r>
      <w:proofErr w:type="spellStart"/>
      <w:r w:rsidR="007C46D3">
        <w:t>MixAR</w:t>
      </w:r>
      <w:proofErr w:type="spellEnd"/>
      <w:r w:rsidR="007C46D3">
        <w:t xml:space="preserve"> </w:t>
      </w:r>
      <w:r w:rsidR="00A56793">
        <w:t xml:space="preserve">model </w:t>
      </w:r>
      <w:r>
        <w:t>and note some relevant properties.</w:t>
      </w:r>
      <w:r w:rsidR="00ED5254">
        <w:t xml:space="preserve"> </w:t>
      </w:r>
      <w:r>
        <w:t xml:space="preserve">We also briefly discuss the problem of parameter estimation </w:t>
      </w:r>
      <w:r w:rsidR="00667A65">
        <w:t xml:space="preserve">and optimization </w:t>
      </w:r>
      <w:r>
        <w:t>using the Expectation Maximization (EM) algorithm</w:t>
      </w:r>
      <w:r w:rsidR="00667A65">
        <w:t xml:space="preserve">. </w:t>
      </w:r>
      <w:r w:rsidR="00ED5254">
        <w:t xml:space="preserve">In </w:t>
      </w:r>
      <w:r>
        <w:t>Section</w:t>
      </w:r>
      <w:r w:rsidR="00ED5254">
        <w:t> </w:t>
      </w:r>
      <w:r w:rsidR="00163499">
        <w:t>3</w:t>
      </w:r>
      <w:r w:rsidR="007F44CE">
        <w:t xml:space="preserve"> we </w:t>
      </w:r>
      <w:r w:rsidR="00ED5254">
        <w:t>present</w:t>
      </w:r>
      <w:r w:rsidR="007F44CE">
        <w:t xml:space="preserve"> </w:t>
      </w:r>
      <w:r w:rsidR="00ED5254">
        <w:t xml:space="preserve">preliminary results on the application of </w:t>
      </w:r>
      <w:proofErr w:type="spellStart"/>
      <w:r w:rsidR="007C46D3">
        <w:t>MixAR</w:t>
      </w:r>
      <w:proofErr w:type="spellEnd"/>
      <w:r w:rsidR="007C46D3">
        <w:t xml:space="preserve"> </w:t>
      </w:r>
      <w:r w:rsidR="00ED5254">
        <w:t>to</w:t>
      </w:r>
      <w:r w:rsidR="007F44CE">
        <w:t xml:space="preserve"> </w:t>
      </w:r>
      <w:r w:rsidR="00667A65">
        <w:t>a 2</w:t>
      </w:r>
      <w:r w:rsidR="007B2BB4">
        <w:t xml:space="preserve">-way </w:t>
      </w:r>
      <w:r w:rsidR="007F44CE">
        <w:t>classification task</w:t>
      </w:r>
      <w:r w:rsidR="0087534F">
        <w:t xml:space="preserve"> </w:t>
      </w:r>
      <w:r w:rsidR="007B2BB4">
        <w:t xml:space="preserve">involving synthetic </w:t>
      </w:r>
      <w:proofErr w:type="spellStart"/>
      <w:r w:rsidR="00667A65">
        <w:t>speech</w:t>
      </w:r>
      <w:r w:rsidR="00667A65">
        <w:noBreakHyphen/>
        <w:t>like</w:t>
      </w:r>
      <w:proofErr w:type="spellEnd"/>
      <w:r w:rsidR="00667A65">
        <w:t xml:space="preserve"> </w:t>
      </w:r>
      <w:r w:rsidR="007B2BB4">
        <w:t>data</w:t>
      </w:r>
      <w:r w:rsidR="00667A65">
        <w:t xml:space="preserve"> in which the amount of nonlinearity is under parametric control. </w:t>
      </w:r>
      <w:r w:rsidR="007C46D3">
        <w:t xml:space="preserve">In </w:t>
      </w:r>
      <w:r w:rsidR="0087534F">
        <w:t>S</w:t>
      </w:r>
      <w:r w:rsidR="007C46D3">
        <w:t>ection 4 we present our results on speaker verification tasks</w:t>
      </w:r>
      <w:r w:rsidR="007B2BB4">
        <w:t xml:space="preserve"> with 2001</w:t>
      </w:r>
      <w:r w:rsidR="006F6770">
        <w:t xml:space="preserve"> </w:t>
      </w:r>
      <w:r w:rsidR="007B2BB4">
        <w:t xml:space="preserve">NIST </w:t>
      </w:r>
      <w:r w:rsidR="006F6770">
        <w:t>Sp</w:t>
      </w:r>
      <w:r w:rsidR="007B2BB4">
        <w:t xml:space="preserve">eaker </w:t>
      </w:r>
      <w:r w:rsidR="006F6770">
        <w:t>R</w:t>
      </w:r>
      <w:r w:rsidR="007B2BB4">
        <w:t xml:space="preserve">ecognition </w:t>
      </w:r>
      <w:r w:rsidR="006F6770">
        <w:t xml:space="preserve">Evaluation </w:t>
      </w:r>
      <w:r w:rsidR="00012F36">
        <w:t xml:space="preserve">(SRE) </w:t>
      </w:r>
      <w:r w:rsidR="006F6770">
        <w:t>Corpus </w:t>
      </w:r>
      <w:r w:rsidR="00D83D12">
        <w:fldChar w:fldCharType="begin"/>
      </w:r>
      <w:r w:rsidR="00012F36">
        <w:instrText xml:space="preserve"> REF _Ref227683423 \r \h </w:instrText>
      </w:r>
      <w:r w:rsidR="00D83D12">
        <w:fldChar w:fldCharType="separate"/>
      </w:r>
      <w:r w:rsidR="00720C71">
        <w:t>[13]</w:t>
      </w:r>
      <w:r w:rsidR="00D83D12">
        <w:fldChar w:fldCharType="end"/>
      </w:r>
      <w:r w:rsidR="007C46D3">
        <w:t xml:space="preserve">. </w:t>
      </w:r>
      <w:r w:rsidR="00ED5254">
        <w:t xml:space="preserve">We conclude the paper in </w:t>
      </w:r>
      <w:r>
        <w:t>Section</w:t>
      </w:r>
      <w:r w:rsidR="00ED5254">
        <w:t> </w:t>
      </w:r>
      <w:r w:rsidR="007C46D3">
        <w:t>5</w:t>
      </w:r>
      <w:r w:rsidR="00163499">
        <w:t xml:space="preserve"> </w:t>
      </w:r>
      <w:r w:rsidR="00ED5254">
        <w:t xml:space="preserve">with a </w:t>
      </w:r>
      <w:r w:rsidR="007B2BB4">
        <w:t xml:space="preserve">summary and </w:t>
      </w:r>
      <w:r w:rsidR="00ED5254">
        <w:t>discussion of ongoing research</w:t>
      </w:r>
      <w:r w:rsidR="00A81A4F">
        <w:t>.</w:t>
      </w:r>
    </w:p>
    <w:p w:rsidR="00736357" w:rsidRDefault="003E2B85">
      <w:pPr>
        <w:pStyle w:val="Heading1"/>
      </w:pPr>
      <w:bookmarkStart w:id="1" w:name="_Ref195688962"/>
      <w:r>
        <w:lastRenderedPageBreak/>
        <w:t>Mixture Autoregressive</w:t>
      </w:r>
      <w:r w:rsidR="00AB32CC" w:rsidRPr="0033735D" w:rsidDel="00AB32CC">
        <w:t xml:space="preserve"> </w:t>
      </w:r>
      <w:bookmarkEnd w:id="1"/>
      <w:r w:rsidR="00647478">
        <w:t>Models</w:t>
      </w:r>
    </w:p>
    <w:p w:rsidR="00736357" w:rsidRDefault="00AB32CC" w:rsidP="00736357">
      <w:pPr>
        <w:spacing w:after="120"/>
      </w:pPr>
      <w:r w:rsidRPr="00AB32CC">
        <w:t>A mixture autoregressive process</w:t>
      </w:r>
      <w:r>
        <w:t> (</w:t>
      </w:r>
      <w:proofErr w:type="spellStart"/>
      <w:r>
        <w:t>M</w:t>
      </w:r>
      <w:r w:rsidR="0051280E">
        <w:t>ix</w:t>
      </w:r>
      <w:r>
        <w:t>AR</w:t>
      </w:r>
      <w:proofErr w:type="spellEnd"/>
      <w:r>
        <w:t xml:space="preserve">) of order </w:t>
      </w:r>
      <w:r w:rsidR="00B56FD3" w:rsidRPr="00B56FD3">
        <w:rPr>
          <w:i/>
        </w:rPr>
        <w:t>p</w:t>
      </w:r>
      <w:r>
        <w:rPr>
          <w:vertAlign w:val="superscript"/>
        </w:rPr>
        <w:t xml:space="preserve"> </w:t>
      </w:r>
      <w:r>
        <w:t xml:space="preserve">with </w:t>
      </w:r>
      <w:r w:rsidR="00B56FD3" w:rsidRPr="00B56FD3">
        <w:rPr>
          <w:i/>
        </w:rPr>
        <w:t>m</w:t>
      </w:r>
      <w:r>
        <w:rPr>
          <w:i/>
        </w:rPr>
        <w:t xml:space="preserve"> </w:t>
      </w:r>
      <w:r w:rsidRPr="00AB32CC">
        <w:t>component</w:t>
      </w:r>
      <w:r>
        <w:t xml:space="preserve">s, </w:t>
      </w:r>
      <w:r w:rsidR="00B56FD3" w:rsidRPr="00B56FD3">
        <w:rPr>
          <w:i/>
        </w:rPr>
        <w:t>X</w:t>
      </w:r>
      <w:r w:rsidRPr="00AB32CC">
        <w:t>={</w:t>
      </w:r>
      <w:r w:rsidR="00B56FD3" w:rsidRPr="00B56FD3">
        <w:rPr>
          <w:i/>
        </w:rPr>
        <w:t>x</w:t>
      </w:r>
      <w:r w:rsidRPr="00AB32CC">
        <w:t>[</w:t>
      </w:r>
      <w:r w:rsidR="00B56FD3" w:rsidRPr="00B56FD3">
        <w:rPr>
          <w:i/>
        </w:rPr>
        <w:t>n</w:t>
      </w:r>
      <w:r>
        <w:t xml:space="preserve">]}, </w:t>
      </w:r>
      <w:r w:rsidRPr="00AB32CC">
        <w:t>is defined as</w:t>
      </w:r>
      <w:r>
        <w:t> </w:t>
      </w:r>
      <w:r w:rsidR="00D83D12">
        <w:rPr>
          <w:b/>
        </w:rPr>
        <w:fldChar w:fldCharType="begin"/>
      </w:r>
      <w:r w:rsidR="00077CA1">
        <w:instrText xml:space="preserve"> REF _Ref227591299 \r \h </w:instrText>
      </w:r>
      <w:r w:rsidR="00D83D12">
        <w:rPr>
          <w:b/>
        </w:rPr>
      </w:r>
      <w:r w:rsidR="00D83D12">
        <w:rPr>
          <w:b/>
        </w:rPr>
        <w:fldChar w:fldCharType="separate"/>
      </w:r>
      <w:r w:rsidR="00720C71">
        <w:t>[7]</w:t>
      </w:r>
      <w:r w:rsidR="00D83D12">
        <w:rPr>
          <w:b/>
        </w:rPr>
        <w:fldChar w:fldCharType="end"/>
      </w:r>
      <w:r w:rsidRPr="00AB32CC">
        <w:t>:</w:t>
      </w:r>
    </w:p>
    <w:tbl>
      <w:tblPr>
        <w:tblStyle w:val="TableGrid"/>
        <w:tblW w:w="4875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63"/>
        <w:gridCol w:w="3517"/>
        <w:gridCol w:w="715"/>
      </w:tblGrid>
      <w:tr w:rsidR="00291BE7" w:rsidTr="00051E8C">
        <w:tc>
          <w:tcPr>
            <w:tcW w:w="293" w:type="pct"/>
            <w:vAlign w:val="center"/>
          </w:tcPr>
          <w:p w:rsidR="006D5332" w:rsidRDefault="006D5332" w:rsidP="006D5332"/>
        </w:tc>
        <w:tc>
          <w:tcPr>
            <w:tcW w:w="3912" w:type="pct"/>
            <w:tcMar>
              <w:left w:w="0" w:type="dxa"/>
              <w:right w:w="0" w:type="dxa"/>
            </w:tcMar>
            <w:vAlign w:val="center"/>
          </w:tcPr>
          <w:p w:rsidR="006D5332" w:rsidRDefault="001779DF" w:rsidP="006D6B82">
            <w:r w:rsidRPr="002B3237">
              <w:rPr>
                <w:position w:val="-86"/>
              </w:rPr>
              <w:object w:dxaOrig="2840" w:dyaOrig="38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3.3pt;height:166.5pt" o:ole="">
                  <v:imagedata r:id="rId10" o:title=""/>
                </v:shape>
                <o:OLEObject Type="Embed" ProgID="Equation.3" ShapeID="_x0000_i1025" DrawAspect="Content" ObjectID="_1304690026" r:id="rId11"/>
              </w:object>
            </w:r>
          </w:p>
        </w:tc>
        <w:tc>
          <w:tcPr>
            <w:tcW w:w="795" w:type="pct"/>
            <w:tcMar>
              <w:left w:w="0" w:type="dxa"/>
              <w:right w:w="0" w:type="dxa"/>
            </w:tcMar>
            <w:vAlign w:val="center"/>
          </w:tcPr>
          <w:p w:rsidR="004505F6" w:rsidRDefault="004505F6">
            <w:pPr>
              <w:pStyle w:val="ListParagraph"/>
              <w:numPr>
                <w:ilvl w:val="0"/>
                <w:numId w:val="20"/>
              </w:numPr>
              <w:jc w:val="right"/>
            </w:pPr>
            <w:bookmarkStart w:id="2" w:name="_Ref195720455"/>
          </w:p>
        </w:tc>
        <w:bookmarkEnd w:id="2"/>
      </w:tr>
    </w:tbl>
    <w:p w:rsidR="004505F6" w:rsidRDefault="00AB32CC">
      <w:pPr>
        <w:spacing w:before="120"/>
      </w:pPr>
      <w:proofErr w:type="gramStart"/>
      <w:r w:rsidRPr="00AB32CC">
        <w:t>where</w:t>
      </w:r>
      <w:proofErr w:type="gramEnd"/>
      <w:r w:rsidRPr="00AB32CC">
        <w:t xml:space="preserve">, </w:t>
      </w:r>
      <w:proofErr w:type="spellStart"/>
      <w:r w:rsidRPr="00AB32CC">
        <w:t>ε</w:t>
      </w:r>
      <w:r w:rsidR="002B3237">
        <w:rPr>
          <w:vertAlign w:val="subscript"/>
        </w:rPr>
        <w:t>i</w:t>
      </w:r>
      <w:proofErr w:type="spellEnd"/>
      <w:r w:rsidRPr="00AB32CC">
        <w:t xml:space="preserve"> is a </w:t>
      </w:r>
      <w:r w:rsidR="009774C8">
        <w:t xml:space="preserve">zero-mean </w:t>
      </w:r>
      <w:r w:rsidRPr="00AB32CC">
        <w:t>Gaussian random process with</w:t>
      </w:r>
      <w:r w:rsidR="009774C8">
        <w:t xml:space="preserve"> a </w:t>
      </w:r>
      <w:r w:rsidRPr="00AB32CC">
        <w:t>variance</w:t>
      </w:r>
      <w:r w:rsidR="009774C8">
        <w:t xml:space="preserve"> of </w:t>
      </w:r>
      <w:r w:rsidRPr="009774C8">
        <w:t>σ</w:t>
      </w:r>
      <w:r w:rsidR="00B56FD3" w:rsidRPr="00B56FD3">
        <w:rPr>
          <w:vertAlign w:val="subscript"/>
        </w:rPr>
        <w:t>j</w:t>
      </w:r>
      <w:r w:rsidR="00B56FD3" w:rsidRPr="00B56FD3">
        <w:rPr>
          <w:vertAlign w:val="superscript"/>
        </w:rPr>
        <w:t>2</w:t>
      </w:r>
      <w:r w:rsidRPr="00AB32CC">
        <w:t>, “</w:t>
      </w:r>
      <w:proofErr w:type="spellStart"/>
      <w:r w:rsidRPr="00AB32CC">
        <w:t>w.p</w:t>
      </w:r>
      <w:proofErr w:type="spellEnd"/>
      <w:r w:rsidRPr="00AB32CC">
        <w:t>.” denotes “with probability</w:t>
      </w:r>
      <w:r w:rsidR="006D6B82">
        <w:t>”</w:t>
      </w:r>
      <w:r w:rsidR="00BD5847">
        <w:t xml:space="preserve"> and</w:t>
      </w:r>
      <w:r w:rsidR="00774E55">
        <w:t xml:space="preserve"> the </w:t>
      </w:r>
      <w:r w:rsidR="00761655">
        <w:t xml:space="preserve">gating </w:t>
      </w:r>
      <w:r w:rsidR="00774E55">
        <w:t xml:space="preserve">weights, </w:t>
      </w:r>
      <w:proofErr w:type="spellStart"/>
      <w:r w:rsidR="001B20DE">
        <w:rPr>
          <w:i/>
        </w:rPr>
        <w:t>W</w:t>
      </w:r>
      <w:r w:rsidR="00B56FD3" w:rsidRPr="00B56FD3">
        <w:rPr>
          <w:vertAlign w:val="subscript"/>
        </w:rPr>
        <w:t>i</w:t>
      </w:r>
      <w:proofErr w:type="spellEnd"/>
      <w:r w:rsidR="00BD5847">
        <w:t xml:space="preserve"> </w:t>
      </w:r>
      <w:r w:rsidR="00774E55">
        <w:t>sum to 1.</w:t>
      </w:r>
      <w:r w:rsidR="0071301D">
        <w:t xml:space="preserve"> The linear predict</w:t>
      </w:r>
      <w:r w:rsidR="00AF742A">
        <w:t>ion</w:t>
      </w:r>
      <w:r w:rsidR="0071301D">
        <w:t xml:space="preserve"> coefficients, </w:t>
      </w:r>
      <w:r w:rsidR="00774E55">
        <w:t>{</w:t>
      </w:r>
      <w:proofErr w:type="spellStart"/>
      <w:r w:rsidR="00B56FD3" w:rsidRPr="00B56FD3">
        <w:rPr>
          <w:i/>
        </w:rPr>
        <w:t>a</w:t>
      </w:r>
      <w:r w:rsidR="00B56FD3" w:rsidRPr="00B56FD3">
        <w:rPr>
          <w:vertAlign w:val="subscript"/>
        </w:rPr>
        <w:t>i</w:t>
      </w:r>
      <w:proofErr w:type="spellEnd"/>
      <w:r w:rsidR="00774E55">
        <w:t>}</w:t>
      </w:r>
      <w:r w:rsidR="0071301D">
        <w:t xml:space="preserve">, represent the dynamic model, where </w:t>
      </w:r>
      <w:r w:rsidR="00B56FD3" w:rsidRPr="00B56FD3">
        <w:rPr>
          <w:i/>
        </w:rPr>
        <w:t>a</w:t>
      </w:r>
      <w:r w:rsidR="00B56FD3" w:rsidRPr="00B56FD3">
        <w:rPr>
          <w:vertAlign w:val="subscript"/>
        </w:rPr>
        <w:t>i</w:t>
      </w:r>
      <w:proofErr w:type="gramStart"/>
      <w:r w:rsidR="00B56FD3" w:rsidRPr="00B56FD3">
        <w:rPr>
          <w:vertAlign w:val="subscript"/>
        </w:rPr>
        <w:t>,0</w:t>
      </w:r>
      <w:proofErr w:type="gramEnd"/>
      <w:r w:rsidR="00774E55">
        <w:t xml:space="preserve"> </w:t>
      </w:r>
      <w:r w:rsidR="006D6B82">
        <w:t>are the component means, while {</w:t>
      </w:r>
      <w:proofErr w:type="spellStart"/>
      <w:r w:rsidR="001B20DE">
        <w:rPr>
          <w:i/>
        </w:rPr>
        <w:t>w</w:t>
      </w:r>
      <w:r w:rsidR="006D6B82" w:rsidRPr="006D6B82">
        <w:rPr>
          <w:i/>
          <w:vertAlign w:val="subscript"/>
        </w:rPr>
        <w:t>i</w:t>
      </w:r>
      <w:proofErr w:type="spellEnd"/>
      <w:r w:rsidR="00186B0F">
        <w:t xml:space="preserve"> </w:t>
      </w:r>
      <w:r w:rsidR="006D6B82">
        <w:t>,</w:t>
      </w:r>
      <w:proofErr w:type="spellStart"/>
      <w:r w:rsidR="001B20DE">
        <w:rPr>
          <w:i/>
        </w:rPr>
        <w:t>g</w:t>
      </w:r>
      <w:r w:rsidR="006D6B82" w:rsidRPr="006D6B82">
        <w:rPr>
          <w:i/>
          <w:vertAlign w:val="subscript"/>
        </w:rPr>
        <w:t>i</w:t>
      </w:r>
      <w:proofErr w:type="spellEnd"/>
      <w:r w:rsidR="006D6B82">
        <w:t xml:space="preserve">} are called gating coefficients. It </w:t>
      </w:r>
      <w:r w:rsidRPr="00AB32CC">
        <w:t>is apparent that a</w:t>
      </w:r>
      <w:r w:rsidR="00186B0F">
        <w:t>n</w:t>
      </w:r>
      <w:r w:rsidRPr="00AB32CC">
        <w:t xml:space="preserve"> </w:t>
      </w:r>
      <w:r w:rsidR="00B56FD3" w:rsidRPr="00B56FD3">
        <w:rPr>
          <w:i/>
        </w:rPr>
        <w:t>m</w:t>
      </w:r>
      <w:r w:rsidR="00186B0F">
        <w:t>-</w:t>
      </w:r>
      <w:r w:rsidRPr="00AB32CC">
        <w:t xml:space="preserve">mixture </w:t>
      </w:r>
      <w:proofErr w:type="spellStart"/>
      <w:r w:rsidRPr="00AB32CC">
        <w:t>M</w:t>
      </w:r>
      <w:r w:rsidR="006D6B82">
        <w:t>ix</w:t>
      </w:r>
      <w:r w:rsidRPr="00AB32CC">
        <w:t>AR</w:t>
      </w:r>
      <w:proofErr w:type="spellEnd"/>
      <w:r w:rsidRPr="00AB32CC">
        <w:t xml:space="preserve"> process is the weighted sum of </w:t>
      </w:r>
      <w:r w:rsidR="00B56FD3" w:rsidRPr="00B56FD3">
        <w:rPr>
          <w:i/>
        </w:rPr>
        <w:t>m</w:t>
      </w:r>
      <w:r w:rsidRPr="00AB32CC">
        <w:t xml:space="preserve"> Ga</w:t>
      </w:r>
      <w:r w:rsidR="006D6B82">
        <w:t>ussian autoregressive processes, with the time-dependent weight</w:t>
      </w:r>
      <w:r w:rsidR="00DA0B64">
        <w:t>s depending on previous data and the gating coefficients.</w:t>
      </w:r>
    </w:p>
    <w:p w:rsidR="004505F6" w:rsidRDefault="00AB32CC">
      <w:pPr>
        <w:ind w:firstLine="270"/>
      </w:pPr>
      <w:r w:rsidRPr="00AB32CC">
        <w:t xml:space="preserve">One convenient way of viewing this model </w:t>
      </w:r>
      <w:r w:rsidR="00186B0F">
        <w:t xml:space="preserve">is as a </w:t>
      </w:r>
      <w:r w:rsidRPr="00AB32CC">
        <w:t>process in which each data sample</w:t>
      </w:r>
      <w:r w:rsidR="00186B0F">
        <w:t xml:space="preserve"> </w:t>
      </w:r>
      <w:r w:rsidRPr="00AB32CC">
        <w:t>at any one point in time</w:t>
      </w:r>
      <w:r w:rsidR="00186B0F">
        <w:t xml:space="preserve"> </w:t>
      </w:r>
      <w:r w:rsidRPr="00AB32CC">
        <w:t xml:space="preserve">is generated from one of the component AR </w:t>
      </w:r>
      <w:r w:rsidR="00186B0F">
        <w:t xml:space="preserve">mixture </w:t>
      </w:r>
      <w:r w:rsidRPr="00AB32CC">
        <w:t>process</w:t>
      </w:r>
      <w:r w:rsidR="00D65C3B">
        <w:t xml:space="preserve">es </w:t>
      </w:r>
      <w:r w:rsidRPr="00AB32CC">
        <w:t xml:space="preserve">chosen randomly according to its weight </w:t>
      </w:r>
      <w:proofErr w:type="spellStart"/>
      <w:proofErr w:type="gramStart"/>
      <w:r w:rsidR="001B20DE">
        <w:rPr>
          <w:i/>
        </w:rPr>
        <w:t>W</w:t>
      </w:r>
      <w:r w:rsidR="00B56FD3" w:rsidRPr="00B56FD3">
        <w:rPr>
          <w:vertAlign w:val="subscript"/>
        </w:rPr>
        <w:t>i</w:t>
      </w:r>
      <w:proofErr w:type="spellEnd"/>
      <w:proofErr w:type="gramEnd"/>
      <w:r w:rsidRPr="00AB32CC">
        <w:t xml:space="preserve">. It is easy to </w:t>
      </w:r>
      <w:r w:rsidR="002B3237">
        <w:t xml:space="preserve">find </w:t>
      </w:r>
      <w:r w:rsidR="00D65C3B">
        <w:t xml:space="preserve">parallels </w:t>
      </w:r>
      <w:r w:rsidR="002B3237">
        <w:t>between</w:t>
      </w:r>
      <w:r w:rsidR="00D65C3B">
        <w:t xml:space="preserve"> the </w:t>
      </w:r>
      <w:proofErr w:type="spellStart"/>
      <w:r w:rsidRPr="00AB32CC">
        <w:t>M</w:t>
      </w:r>
      <w:r w:rsidR="002B3237">
        <w:t>ix</w:t>
      </w:r>
      <w:r w:rsidRPr="00AB32CC">
        <w:t>AR</w:t>
      </w:r>
      <w:proofErr w:type="spellEnd"/>
      <w:r w:rsidRPr="00AB32CC">
        <w:t xml:space="preserve"> and GMM models. In particular, </w:t>
      </w:r>
      <w:proofErr w:type="spellStart"/>
      <w:r w:rsidRPr="00AB32CC">
        <w:t>M</w:t>
      </w:r>
      <w:r w:rsidR="002B3237">
        <w:t>ix</w:t>
      </w:r>
      <w:r w:rsidRPr="00AB32CC">
        <w:t>AR</w:t>
      </w:r>
      <w:proofErr w:type="spellEnd"/>
      <w:r w:rsidRPr="00AB32CC">
        <w:t xml:space="preserve"> can be viewed as a generalization of GMM that models each component as a sum of the output of an autoregressive filter</w:t>
      </w:r>
      <w:r w:rsidR="00186B0F">
        <w:t xml:space="preserve"> with a specified </w:t>
      </w:r>
      <w:r w:rsidRPr="00AB32CC">
        <w:t>mean</w:t>
      </w:r>
      <w:r w:rsidR="002B3237">
        <w:t>, and with mixture weights determined by a gating system similar to a mixture of experts</w:t>
      </w:r>
      <w:r w:rsidR="00D65C3B">
        <w:t>.</w:t>
      </w:r>
      <w:r w:rsidR="002B3237">
        <w:t xml:space="preserve"> </w:t>
      </w:r>
      <w:r w:rsidRPr="00AB32CC">
        <w:t xml:space="preserve">It should be noted that </w:t>
      </w:r>
      <w:r w:rsidR="00D65C3B">
        <w:t xml:space="preserve">with the component orders and </w:t>
      </w:r>
      <w:proofErr w:type="spellStart"/>
      <w:r w:rsidR="00D65C3B">
        <w:rPr>
          <w:i/>
        </w:rPr>
        <w:t>g</w:t>
      </w:r>
      <w:r w:rsidR="00D65C3B" w:rsidRPr="006D6B82">
        <w:rPr>
          <w:i/>
          <w:vertAlign w:val="subscript"/>
        </w:rPr>
        <w:t>i</w:t>
      </w:r>
      <w:proofErr w:type="spellEnd"/>
      <w:r w:rsidR="00D65C3B">
        <w:t xml:space="preserve"> set to zero, </w:t>
      </w:r>
      <w:proofErr w:type="spellStart"/>
      <w:r w:rsidRPr="00AB32CC">
        <w:t>M</w:t>
      </w:r>
      <w:r w:rsidR="002B3237">
        <w:t>ix</w:t>
      </w:r>
      <w:r w:rsidRPr="00AB32CC">
        <w:t>AR</w:t>
      </w:r>
      <w:proofErr w:type="spellEnd"/>
      <w:r w:rsidR="00D65C3B">
        <w:t xml:space="preserve">, </w:t>
      </w:r>
      <w:r w:rsidRPr="00AB32CC">
        <w:t>reduces to</w:t>
      </w:r>
      <w:r w:rsidR="00186B0F">
        <w:t xml:space="preserve"> </w:t>
      </w:r>
      <w:r w:rsidR="002F27E6">
        <w:t>the familiar</w:t>
      </w:r>
      <w:r w:rsidRPr="00AB32CC">
        <w:t xml:space="preserve"> GMM. This similarity between the two makes it straightforward to replace GMM with </w:t>
      </w:r>
      <w:proofErr w:type="spellStart"/>
      <w:r w:rsidRPr="00AB32CC">
        <w:t>M</w:t>
      </w:r>
      <w:r w:rsidR="002F27E6">
        <w:t>ix</w:t>
      </w:r>
      <w:r w:rsidRPr="00AB32CC">
        <w:t>AR</w:t>
      </w:r>
      <w:proofErr w:type="spellEnd"/>
      <w:r w:rsidRPr="00AB32CC">
        <w:t xml:space="preserve"> </w:t>
      </w:r>
      <w:r w:rsidR="002F27E6">
        <w:t>for speaker recognition</w:t>
      </w:r>
      <w:r w:rsidRPr="00AB32CC">
        <w:t>.</w:t>
      </w:r>
    </w:p>
    <w:p w:rsidR="00AF3987" w:rsidRDefault="00AB32CC">
      <w:pPr>
        <w:ind w:firstLine="270"/>
      </w:pPr>
      <w:r w:rsidRPr="00AB32CC">
        <w:t xml:space="preserve">One property of </w:t>
      </w:r>
      <w:proofErr w:type="spellStart"/>
      <w:r w:rsidRPr="00AB32CC">
        <w:t>M</w:t>
      </w:r>
      <w:r w:rsidR="002F27E6">
        <w:t>ix</w:t>
      </w:r>
      <w:r w:rsidRPr="00AB32CC">
        <w:t>AR</w:t>
      </w:r>
      <w:proofErr w:type="spellEnd"/>
      <w:r w:rsidRPr="00AB32CC">
        <w:t xml:space="preserve"> that is of particular relevance here is </w:t>
      </w:r>
      <w:r w:rsidR="00186B0F">
        <w:t xml:space="preserve">the </w:t>
      </w:r>
      <w:r w:rsidRPr="00AB32CC">
        <w:t xml:space="preserve">ability </w:t>
      </w:r>
      <w:r w:rsidR="00186B0F">
        <w:t xml:space="preserve">of </w:t>
      </w:r>
      <w:proofErr w:type="spellStart"/>
      <w:r w:rsidR="00186B0F">
        <w:t>M</w:t>
      </w:r>
      <w:r w:rsidR="002F27E6">
        <w:t>ix</w:t>
      </w:r>
      <w:r w:rsidR="00186B0F">
        <w:t>AR</w:t>
      </w:r>
      <w:proofErr w:type="spellEnd"/>
      <w:r w:rsidR="00186B0F">
        <w:t xml:space="preserve"> </w:t>
      </w:r>
      <w:r w:rsidRPr="00AB32CC">
        <w:t xml:space="preserve">to model nonlinearity in time series. Though the individual component AR processes are linear, the probabilistic mixing of these AR processes </w:t>
      </w:r>
      <w:r w:rsidR="00186B0F">
        <w:t xml:space="preserve">constitutes a nonlinear model. </w:t>
      </w:r>
      <w:r w:rsidR="002F27E6">
        <w:t xml:space="preserve">Even when the mixture weights are fixed, the model reduces to MAR, which is still nonlinear. </w:t>
      </w:r>
      <w:r w:rsidR="00C15D5D">
        <w:t>T</w:t>
      </w:r>
      <w:r w:rsidR="002F27E6">
        <w:t xml:space="preserve">he addition of </w:t>
      </w:r>
      <w:r w:rsidR="00C15D5D">
        <w:t xml:space="preserve">a </w:t>
      </w:r>
      <w:r w:rsidR="002F27E6">
        <w:t>gating system layer for weight generation</w:t>
      </w:r>
      <w:r w:rsidR="00C15D5D">
        <w:t xml:space="preserve"> </w:t>
      </w:r>
      <w:r w:rsidR="002F27E6">
        <w:t xml:space="preserve">increases the flexibility of the model even further, allowing us to model distributions as a function of past data. </w:t>
      </w:r>
    </w:p>
    <w:p w:rsidR="00AF3987" w:rsidRDefault="00AB32CC">
      <w:pPr>
        <w:ind w:firstLine="270"/>
      </w:pPr>
      <w:r w:rsidRPr="00AB32CC">
        <w:t xml:space="preserve">In a GMM, the distribution remains invariant to the past samples due to the static nature of the model. For </w:t>
      </w:r>
      <w:proofErr w:type="spellStart"/>
      <w:r w:rsidRPr="00AB32CC">
        <w:t>M</w:t>
      </w:r>
      <w:r w:rsidR="002F27E6">
        <w:t>ix</w:t>
      </w:r>
      <w:r w:rsidRPr="00AB32CC">
        <w:t>AR</w:t>
      </w:r>
      <w:proofErr w:type="spellEnd"/>
      <w:r w:rsidRPr="00AB32CC">
        <w:t xml:space="preserve">, the conditional distribution given past data varies with time. This model is capable of modeling both the conditional means and variances. Thus, </w:t>
      </w:r>
      <w:proofErr w:type="spellStart"/>
      <w:r w:rsidRPr="00AB32CC">
        <w:t>M</w:t>
      </w:r>
      <w:r w:rsidR="002F27E6">
        <w:t>ix</w:t>
      </w:r>
      <w:r w:rsidRPr="00AB32CC">
        <w:t>AR</w:t>
      </w:r>
      <w:proofErr w:type="spellEnd"/>
      <w:r w:rsidRPr="00AB32CC">
        <w:t xml:space="preserve"> can model time series that evolve nonlinearly. This property becomes important in speech processing in the light of recent work on</w:t>
      </w:r>
      <w:r w:rsidR="002543A0">
        <w:t xml:space="preserve"> nonlinear processing of speech </w:t>
      </w:r>
      <w:r w:rsidR="00D83D12">
        <w:fldChar w:fldCharType="begin"/>
      </w:r>
      <w:r w:rsidR="00D83D12">
        <w:instrText xml:space="preserve"> REF _Ref195687752 \n \h  \* MERGEFORMAT </w:instrText>
      </w:r>
      <w:r w:rsidR="00D83D12">
        <w:fldChar w:fldCharType="separate"/>
      </w:r>
      <w:r w:rsidR="00720C71">
        <w:t>[4</w:t>
      </w:r>
      <w:proofErr w:type="gramStart"/>
      <w:r w:rsidR="00720C71">
        <w:t>]</w:t>
      </w:r>
      <w:proofErr w:type="gramEnd"/>
      <w:r w:rsidR="00D83D12">
        <w:fldChar w:fldCharType="end"/>
      </w:r>
      <w:r w:rsidR="00D83D12">
        <w:fldChar w:fldCharType="begin"/>
      </w:r>
      <w:r w:rsidR="00077CA1">
        <w:instrText xml:space="preserve"> REF _Ref195687977 \r \h </w:instrText>
      </w:r>
      <w:r w:rsidR="00D83D12">
        <w:fldChar w:fldCharType="separate"/>
      </w:r>
      <w:r w:rsidR="00720C71">
        <w:t>[5]</w:t>
      </w:r>
      <w:r w:rsidR="00D83D12">
        <w:fldChar w:fldCharType="end"/>
      </w:r>
      <w:r w:rsidR="002543A0">
        <w:t xml:space="preserve">. </w:t>
      </w:r>
    </w:p>
    <w:p w:rsidR="004505F6" w:rsidRDefault="00AB32CC">
      <w:pPr>
        <w:ind w:firstLine="270"/>
      </w:pPr>
      <w:r w:rsidRPr="00AB32CC">
        <w:t xml:space="preserve">Some other properties of </w:t>
      </w:r>
      <w:proofErr w:type="spellStart"/>
      <w:r w:rsidRPr="00AB32CC">
        <w:t>M</w:t>
      </w:r>
      <w:r w:rsidR="002F27E6">
        <w:t>ix</w:t>
      </w:r>
      <w:r w:rsidRPr="00AB32CC">
        <w:t>AR</w:t>
      </w:r>
      <w:proofErr w:type="spellEnd"/>
      <w:r w:rsidR="002F27E6">
        <w:t xml:space="preserve">, including a mathematically rigorous proof of the ability of </w:t>
      </w:r>
      <w:proofErr w:type="spellStart"/>
      <w:r w:rsidR="002F27E6">
        <w:t>MixARs</w:t>
      </w:r>
      <w:proofErr w:type="spellEnd"/>
      <w:r w:rsidR="002F27E6">
        <w:t xml:space="preserve"> to arbitrarily closely model stochastic processes </w:t>
      </w:r>
      <w:r w:rsidRPr="00AB32CC">
        <w:t>are derived in</w:t>
      </w:r>
      <w:r w:rsidR="002543A0">
        <w:t> </w:t>
      </w:r>
      <w:fldSimple w:instr=" REF _Ref195688560 \n \h  \* MERGEFORMAT ">
        <w:r w:rsidR="00720C71">
          <w:t>[11]</w:t>
        </w:r>
      </w:fldSimple>
      <w:r w:rsidR="002543A0">
        <w:t>.</w:t>
      </w:r>
      <w:r w:rsidR="003E1ACB">
        <w:t xml:space="preserve"> </w:t>
      </w:r>
      <w:r w:rsidR="00077CA1">
        <w:t>Note that</w:t>
      </w:r>
      <w:r w:rsidR="003E1ACB">
        <w:t xml:space="preserve"> </w:t>
      </w:r>
      <w:r w:rsidR="00AF3987">
        <w:t xml:space="preserve">in </w:t>
      </w:r>
      <w:r w:rsidR="003E1ACB">
        <w:t>the original formulation</w:t>
      </w:r>
      <w:r w:rsidR="00AF3987">
        <w:t xml:space="preserve">, </w:t>
      </w:r>
      <w:r w:rsidR="003E1ACB">
        <w:t xml:space="preserve">both </w:t>
      </w:r>
      <w:r w:rsidR="00AF3987">
        <w:t xml:space="preserve">the </w:t>
      </w:r>
      <w:r w:rsidR="003E1ACB">
        <w:t>gate and prediction order</w:t>
      </w:r>
      <w:r w:rsidR="00AF3987">
        <w:t>s</w:t>
      </w:r>
      <w:r w:rsidR="003E1ACB">
        <w:t xml:space="preserve"> were constrained to be equal. In this paper, we restrict our use of </w:t>
      </w:r>
      <w:proofErr w:type="spellStart"/>
      <w:r w:rsidR="003E1ACB">
        <w:t>MixAR</w:t>
      </w:r>
      <w:proofErr w:type="spellEnd"/>
      <w:r w:rsidR="003E1ACB">
        <w:t xml:space="preserve"> order to one </w:t>
      </w:r>
      <w:r w:rsidR="00077CA1">
        <w:t>to avoid difficulties during</w:t>
      </w:r>
      <w:r w:rsidR="003E1ACB">
        <w:t xml:space="preserve"> parameter estimation.</w:t>
      </w:r>
    </w:p>
    <w:p w:rsidR="00552149" w:rsidRDefault="002543A0">
      <w:pPr>
        <w:pStyle w:val="Heading2"/>
      </w:pPr>
      <w:r>
        <w:lastRenderedPageBreak/>
        <w:t>Parameter Estimation U</w:t>
      </w:r>
      <w:r w:rsidR="00AB32CC" w:rsidRPr="00AB32CC">
        <w:t>sing EM</w:t>
      </w:r>
    </w:p>
    <w:p w:rsidR="00552149" w:rsidRDefault="00AB32CC">
      <w:pPr>
        <w:widowControl w:val="0"/>
        <w:spacing w:after="120"/>
      </w:pPr>
      <w:r w:rsidRPr="00AB32CC">
        <w:t>Similar to GMM training, maximum likelih</w:t>
      </w:r>
      <w:r w:rsidR="002543A0">
        <w:t xml:space="preserve">ood estimates for </w:t>
      </w:r>
      <w:proofErr w:type="spellStart"/>
      <w:r w:rsidR="002543A0">
        <w:t>M</w:t>
      </w:r>
      <w:r w:rsidR="00761655">
        <w:t>ix</w:t>
      </w:r>
      <w:r w:rsidR="002543A0">
        <w:t>AR</w:t>
      </w:r>
      <w:proofErr w:type="spellEnd"/>
      <w:r w:rsidR="002543A0">
        <w:t xml:space="preserve"> </w:t>
      </w:r>
      <w:r w:rsidR="00761655">
        <w:t xml:space="preserve">prediction and variance </w:t>
      </w:r>
      <w:r w:rsidR="002543A0">
        <w:t xml:space="preserve">parameters can be </w:t>
      </w:r>
      <w:r w:rsidRPr="00AB32CC">
        <w:t>calculated using the Expectation Maximization (EM) algorithm</w:t>
      </w:r>
      <w:r w:rsidR="002543A0">
        <w:t> </w:t>
      </w:r>
      <w:r w:rsidR="00D83D12">
        <w:fldChar w:fldCharType="begin"/>
      </w:r>
      <w:r w:rsidR="002543A0">
        <w:instrText xml:space="preserve"> REF _Ref195722178 \n \h </w:instrText>
      </w:r>
      <w:r w:rsidR="00D83D12">
        <w:fldChar w:fldCharType="separate"/>
      </w:r>
      <w:r w:rsidR="00720C71">
        <w:t>[13]</w:t>
      </w:r>
      <w:r w:rsidR="00D83D12">
        <w:fldChar w:fldCharType="end"/>
      </w:r>
      <w:r w:rsidR="002543A0">
        <w:t xml:space="preserve">. </w:t>
      </w:r>
      <w:r w:rsidRPr="00AB32CC">
        <w:t>Given the order</w:t>
      </w:r>
      <w:r w:rsidR="00855C68">
        <w:t xml:space="preserve">, </w:t>
      </w:r>
      <w:r w:rsidR="00B56FD3" w:rsidRPr="00B56FD3">
        <w:rPr>
          <w:i/>
        </w:rPr>
        <w:t>p</w:t>
      </w:r>
      <w:r w:rsidR="00855C68">
        <w:t xml:space="preserve">, </w:t>
      </w:r>
      <w:r w:rsidRPr="00AB32CC">
        <w:t xml:space="preserve">the parameter set for each of the </w:t>
      </w:r>
      <w:r w:rsidR="00B56FD3" w:rsidRPr="00B56FD3">
        <w:rPr>
          <w:i/>
        </w:rPr>
        <w:t>m</w:t>
      </w:r>
      <w:r w:rsidRPr="00AB32CC">
        <w:t xml:space="preserve"> components of a MAR model consists of</w:t>
      </w:r>
      <w:r w:rsidR="00855C68">
        <w:t xml:space="preserve"> </w:t>
      </w:r>
      <w:r w:rsidR="00B56FD3" w:rsidRPr="00B56FD3">
        <w:rPr>
          <w:i/>
        </w:rPr>
        <w:t>p</w:t>
      </w:r>
      <w:r w:rsidRPr="00AB32CC">
        <w:t xml:space="preserve">+1 predictor coefficients (including the mean), </w:t>
      </w:r>
      <w:r w:rsidR="00855C68">
        <w:t xml:space="preserve">the </w:t>
      </w:r>
      <w:r w:rsidRPr="00AB32CC">
        <w:t xml:space="preserve">error variance, and </w:t>
      </w:r>
      <w:r w:rsidR="00855C68">
        <w:t xml:space="preserve">mixing </w:t>
      </w:r>
      <w:r w:rsidRPr="00AB32CC">
        <w:t>weight:</w:t>
      </w:r>
    </w:p>
    <w:tbl>
      <w:tblPr>
        <w:tblStyle w:val="TableGrid"/>
        <w:tblW w:w="4875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63"/>
        <w:gridCol w:w="3517"/>
        <w:gridCol w:w="715"/>
      </w:tblGrid>
      <w:tr w:rsidR="00855C68" w:rsidTr="009A455A">
        <w:tc>
          <w:tcPr>
            <w:tcW w:w="293" w:type="pct"/>
            <w:vAlign w:val="center"/>
          </w:tcPr>
          <w:p w:rsidR="00855C68" w:rsidRDefault="00855C68" w:rsidP="009A455A"/>
        </w:tc>
        <w:tc>
          <w:tcPr>
            <w:tcW w:w="3912" w:type="pct"/>
            <w:tcMar>
              <w:left w:w="0" w:type="dxa"/>
              <w:right w:w="0" w:type="dxa"/>
            </w:tcMar>
            <w:vAlign w:val="center"/>
          </w:tcPr>
          <w:p w:rsidR="00855C68" w:rsidRDefault="00720C71" w:rsidP="009A455A">
            <w:r w:rsidRPr="00720C71">
              <w:rPr>
                <w:position w:val="-14"/>
              </w:rPr>
              <w:object w:dxaOrig="3920" w:dyaOrig="360">
                <v:shape id="_x0000_i1026" type="#_x0000_t75" style="width:178.05pt;height:16.7pt" o:ole="">
                  <v:imagedata r:id="rId12" o:title=""/>
                </v:shape>
                <o:OLEObject Type="Embed" ProgID="Equation.3" ShapeID="_x0000_i1026" DrawAspect="Content" ObjectID="_1304690027" r:id="rId13"/>
              </w:object>
            </w:r>
          </w:p>
        </w:tc>
        <w:tc>
          <w:tcPr>
            <w:tcW w:w="795" w:type="pct"/>
            <w:tcMar>
              <w:left w:w="0" w:type="dxa"/>
              <w:right w:w="0" w:type="dxa"/>
            </w:tcMar>
            <w:vAlign w:val="center"/>
          </w:tcPr>
          <w:p w:rsidR="00855C68" w:rsidRDefault="00855C68" w:rsidP="009A455A">
            <w:pPr>
              <w:pStyle w:val="ListParagraph"/>
              <w:numPr>
                <w:ilvl w:val="0"/>
                <w:numId w:val="20"/>
              </w:numPr>
              <w:jc w:val="right"/>
            </w:pPr>
          </w:p>
        </w:tc>
      </w:tr>
    </w:tbl>
    <w:p w:rsidR="004505F6" w:rsidRDefault="00AB32CC">
      <w:pPr>
        <w:spacing w:before="120"/>
        <w:ind w:firstLine="274"/>
      </w:pPr>
      <w:r w:rsidRPr="00AB32CC">
        <w:t xml:space="preserve">To estimate these parameters, we first need an initial </w:t>
      </w:r>
      <w:proofErr w:type="gramStart"/>
      <w:r w:rsidRPr="00AB32CC">
        <w:t>guess</w:t>
      </w:r>
      <w:proofErr w:type="gramEnd"/>
      <w:r w:rsidRPr="00AB32CC">
        <w:t xml:space="preserve"> for these parameters and then </w:t>
      </w:r>
      <w:r w:rsidR="00855C68">
        <w:t xml:space="preserve">we iterate with </w:t>
      </w:r>
      <w:r w:rsidRPr="00AB32CC">
        <w:t xml:space="preserve">EM to successively refine the estimates. </w:t>
      </w:r>
      <w:r w:rsidR="00855C68">
        <w:t xml:space="preserve">An </w:t>
      </w:r>
      <w:r w:rsidRPr="00AB32CC">
        <w:t xml:space="preserve">initialization strategy that we found to work reasonably well was to first train a GMM with the same number of mixtures and then set each component of the </w:t>
      </w:r>
      <w:proofErr w:type="spellStart"/>
      <w:r w:rsidRPr="00AB32CC">
        <w:t>M</w:t>
      </w:r>
      <w:r w:rsidR="00761655">
        <w:t>ix</w:t>
      </w:r>
      <w:r w:rsidRPr="00AB32CC">
        <w:t>AR</w:t>
      </w:r>
      <w:proofErr w:type="spellEnd"/>
      <w:r w:rsidRPr="00AB32CC">
        <w:t xml:space="preserve"> to have the same mean, variance, </w:t>
      </w:r>
      <w:r w:rsidR="00855C68">
        <w:t xml:space="preserve">and weight as the GMM model. </w:t>
      </w:r>
      <w:r w:rsidR="00761655">
        <w:t>W</w:t>
      </w:r>
      <w:r w:rsidR="00855C68">
        <w:t xml:space="preserve">e initialize </w:t>
      </w:r>
      <w:r w:rsidRPr="00AB32CC">
        <w:t xml:space="preserve">the predictor coefficients </w:t>
      </w:r>
      <w:r w:rsidR="00D65C3B">
        <w:t xml:space="preserve">and </w:t>
      </w:r>
      <w:r w:rsidR="00761655">
        <w:t>the data-dependency gating coefficients</w:t>
      </w:r>
      <w:r w:rsidR="00D65C3B">
        <w:t>, {</w:t>
      </w:r>
      <w:r w:rsidR="00761655" w:rsidRPr="006D6B82">
        <w:rPr>
          <w:i/>
        </w:rPr>
        <w:t>A</w:t>
      </w:r>
      <w:r w:rsidR="00761655" w:rsidRPr="006D6B82">
        <w:rPr>
          <w:i/>
          <w:vertAlign w:val="subscript"/>
        </w:rPr>
        <w:t>i</w:t>
      </w:r>
      <w:r w:rsidR="00D65C3B">
        <w:t xml:space="preserve">} </w:t>
      </w:r>
      <w:r w:rsidR="00D65C3B" w:rsidRPr="00AB32CC">
        <w:t xml:space="preserve">of </w:t>
      </w:r>
      <w:proofErr w:type="spellStart"/>
      <w:r w:rsidR="00D65C3B" w:rsidRPr="00AB32CC">
        <w:t>M</w:t>
      </w:r>
      <w:r w:rsidR="00D65C3B">
        <w:t>ix</w:t>
      </w:r>
      <w:r w:rsidR="00D65C3B" w:rsidRPr="00AB32CC">
        <w:t>AR</w:t>
      </w:r>
      <w:proofErr w:type="spellEnd"/>
      <w:r w:rsidR="00D65C3B">
        <w:t xml:space="preserve"> to </w:t>
      </w:r>
      <w:r w:rsidR="00D65C3B" w:rsidRPr="00AB32CC">
        <w:t>zero</w:t>
      </w:r>
      <w:r w:rsidR="00D65C3B">
        <w:t>.</w:t>
      </w:r>
    </w:p>
    <w:p w:rsidR="004505F6" w:rsidRDefault="00AB32CC">
      <w:pPr>
        <w:spacing w:after="120"/>
        <w:ind w:firstLine="274"/>
      </w:pPr>
      <w:r w:rsidRPr="00AB32CC">
        <w:t xml:space="preserve">These initial parameters can be then refined recursively using </w:t>
      </w:r>
      <w:r w:rsidR="00972809">
        <w:t>an E-step </w:t>
      </w:r>
      <w:r w:rsidRPr="00AB32CC">
        <w:t>[8]:</w:t>
      </w:r>
    </w:p>
    <w:tbl>
      <w:tblPr>
        <w:tblStyle w:val="TableGrid"/>
        <w:tblW w:w="4875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63"/>
        <w:gridCol w:w="3517"/>
        <w:gridCol w:w="715"/>
      </w:tblGrid>
      <w:tr w:rsidR="00972809" w:rsidTr="009A455A">
        <w:tc>
          <w:tcPr>
            <w:tcW w:w="293" w:type="pct"/>
            <w:vAlign w:val="center"/>
          </w:tcPr>
          <w:p w:rsidR="00972809" w:rsidRDefault="00972809" w:rsidP="009A455A"/>
        </w:tc>
        <w:tc>
          <w:tcPr>
            <w:tcW w:w="3912" w:type="pct"/>
            <w:tcMar>
              <w:left w:w="0" w:type="dxa"/>
              <w:right w:w="0" w:type="dxa"/>
            </w:tcMar>
            <w:vAlign w:val="center"/>
          </w:tcPr>
          <w:p w:rsidR="00972809" w:rsidRDefault="00DF48F5" w:rsidP="009A455A">
            <w:r w:rsidRPr="00DF48F5">
              <w:rPr>
                <w:position w:val="-54"/>
              </w:rPr>
              <w:object w:dxaOrig="2540" w:dyaOrig="920">
                <v:shape id="_x0000_i1028" type="#_x0000_t75" style="width:158.15pt;height:32.15pt" o:ole="">
                  <v:imagedata r:id="rId14" o:title=""/>
                </v:shape>
                <o:OLEObject Type="Embed" ProgID="Equation.3" ShapeID="_x0000_i1028" DrawAspect="Content" ObjectID="_1304690028" r:id="rId15"/>
              </w:object>
            </w:r>
          </w:p>
        </w:tc>
        <w:tc>
          <w:tcPr>
            <w:tcW w:w="795" w:type="pct"/>
            <w:tcMar>
              <w:left w:w="0" w:type="dxa"/>
              <w:right w:w="0" w:type="dxa"/>
            </w:tcMar>
            <w:vAlign w:val="center"/>
          </w:tcPr>
          <w:p w:rsidR="00972809" w:rsidRDefault="00972809" w:rsidP="009A455A">
            <w:pPr>
              <w:pStyle w:val="ListParagraph"/>
              <w:numPr>
                <w:ilvl w:val="0"/>
                <w:numId w:val="20"/>
              </w:numPr>
              <w:jc w:val="right"/>
            </w:pPr>
            <w:bookmarkStart w:id="3" w:name="_Ref195724224"/>
          </w:p>
        </w:tc>
        <w:bookmarkEnd w:id="3"/>
      </w:tr>
    </w:tbl>
    <w:p w:rsidR="004505F6" w:rsidRDefault="00972809">
      <w:proofErr w:type="gramStart"/>
      <w:r>
        <w:t>where</w:t>
      </w:r>
      <w:proofErr w:type="gramEnd"/>
    </w:p>
    <w:tbl>
      <w:tblPr>
        <w:tblStyle w:val="TableGrid"/>
        <w:tblW w:w="4875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63"/>
        <w:gridCol w:w="3517"/>
        <w:gridCol w:w="715"/>
      </w:tblGrid>
      <w:tr w:rsidR="00972809" w:rsidTr="009A455A">
        <w:tc>
          <w:tcPr>
            <w:tcW w:w="293" w:type="pct"/>
            <w:vAlign w:val="center"/>
          </w:tcPr>
          <w:p w:rsidR="00972809" w:rsidRDefault="00972809" w:rsidP="009A455A"/>
        </w:tc>
        <w:tc>
          <w:tcPr>
            <w:tcW w:w="3912" w:type="pct"/>
            <w:tcMar>
              <w:left w:w="0" w:type="dxa"/>
              <w:right w:w="0" w:type="dxa"/>
            </w:tcMar>
            <w:vAlign w:val="center"/>
          </w:tcPr>
          <w:p w:rsidR="00972809" w:rsidRDefault="0049354B" w:rsidP="009A455A">
            <w:r w:rsidRPr="0049354B">
              <w:rPr>
                <w:position w:val="-28"/>
              </w:rPr>
              <w:object w:dxaOrig="4260" w:dyaOrig="900">
                <v:shape id="_x0000_i1030" type="#_x0000_t75" style="width:173.55pt;height:40.5pt" o:ole="">
                  <v:imagedata r:id="rId16" o:title=""/>
                </v:shape>
                <o:OLEObject Type="Embed" ProgID="Equation.3" ShapeID="_x0000_i1030" DrawAspect="Content" ObjectID="_1304690029" r:id="rId17"/>
              </w:object>
            </w:r>
          </w:p>
        </w:tc>
        <w:tc>
          <w:tcPr>
            <w:tcW w:w="795" w:type="pct"/>
            <w:tcMar>
              <w:left w:w="0" w:type="dxa"/>
              <w:right w:w="0" w:type="dxa"/>
            </w:tcMar>
            <w:vAlign w:val="center"/>
          </w:tcPr>
          <w:p w:rsidR="00972809" w:rsidRDefault="00972809" w:rsidP="009A455A">
            <w:pPr>
              <w:pStyle w:val="ListParagraph"/>
              <w:numPr>
                <w:ilvl w:val="0"/>
                <w:numId w:val="20"/>
              </w:numPr>
              <w:jc w:val="right"/>
            </w:pPr>
          </w:p>
        </w:tc>
      </w:tr>
    </w:tbl>
    <w:p w:rsidR="004505F6" w:rsidRDefault="00AB32CC">
      <w:pPr>
        <w:spacing w:before="120" w:after="120"/>
      </w:pPr>
      <w:proofErr w:type="gramStart"/>
      <w:r w:rsidRPr="00AB32CC">
        <w:t>is</w:t>
      </w:r>
      <w:proofErr w:type="gramEnd"/>
      <w:r w:rsidRPr="00AB32CC">
        <w:t xml:space="preserve"> the probability </w:t>
      </w:r>
      <w:r w:rsidR="00121D25">
        <w:t xml:space="preserve">a </w:t>
      </w:r>
      <w:r w:rsidRPr="00AB32CC">
        <w:t>sample was generated from component</w:t>
      </w:r>
      <w:r w:rsidR="00972809">
        <w:t xml:space="preserve"> </w:t>
      </w:r>
      <w:r w:rsidR="00B56FD3" w:rsidRPr="00B56FD3">
        <w:rPr>
          <w:i/>
        </w:rPr>
        <w:t>l</w:t>
      </w:r>
      <w:r w:rsidRPr="00AB32CC">
        <w:t xml:space="preserve"> at time instant </w:t>
      </w:r>
      <w:r w:rsidR="00B56FD3" w:rsidRPr="00B56FD3">
        <w:rPr>
          <w:i/>
        </w:rPr>
        <w:t>n</w:t>
      </w:r>
      <w:r w:rsidRPr="00AB32CC">
        <w:t>.</w:t>
      </w:r>
      <w:r w:rsidR="00972809">
        <w:t xml:space="preserve"> The corresponding M-step is given by:</w:t>
      </w:r>
    </w:p>
    <w:tbl>
      <w:tblPr>
        <w:tblStyle w:val="TableGrid"/>
        <w:tblW w:w="4875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bottom w:w="72" w:type="dxa"/>
          <w:right w:w="115" w:type="dxa"/>
        </w:tblCellMar>
        <w:tblLook w:val="04A0"/>
      </w:tblPr>
      <w:tblGrid>
        <w:gridCol w:w="265"/>
        <w:gridCol w:w="3522"/>
        <w:gridCol w:w="715"/>
      </w:tblGrid>
      <w:tr w:rsidR="00972809" w:rsidTr="003E1ACB">
        <w:tc>
          <w:tcPr>
            <w:tcW w:w="294" w:type="pct"/>
            <w:vAlign w:val="center"/>
          </w:tcPr>
          <w:p w:rsidR="004505F6" w:rsidRDefault="004505F6">
            <w:pPr>
              <w:spacing w:before="60"/>
            </w:pPr>
          </w:p>
        </w:tc>
        <w:tc>
          <w:tcPr>
            <w:tcW w:w="3911" w:type="pct"/>
            <w:tcMar>
              <w:left w:w="0" w:type="dxa"/>
              <w:right w:w="0" w:type="dxa"/>
            </w:tcMar>
            <w:vAlign w:val="center"/>
          </w:tcPr>
          <w:p w:rsidR="00972809" w:rsidRDefault="00720C71" w:rsidP="009A455A">
            <w:r w:rsidRPr="0049354B">
              <w:rPr>
                <w:position w:val="-14"/>
              </w:rPr>
              <w:object w:dxaOrig="1060" w:dyaOrig="420">
                <v:shape id="_x0000_i1031" type="#_x0000_t75" style="width:45.65pt;height:17.35pt" o:ole="">
                  <v:imagedata r:id="rId18" o:title=""/>
                </v:shape>
                <o:OLEObject Type="Embed" ProgID="Equation.3" ShapeID="_x0000_i1031" DrawAspect="Content" ObjectID="_1304690030" r:id="rId19"/>
              </w:object>
            </w:r>
          </w:p>
        </w:tc>
        <w:tc>
          <w:tcPr>
            <w:tcW w:w="794" w:type="pct"/>
            <w:tcMar>
              <w:left w:w="0" w:type="dxa"/>
              <w:right w:w="0" w:type="dxa"/>
            </w:tcMar>
            <w:vAlign w:val="center"/>
          </w:tcPr>
          <w:p w:rsidR="00972809" w:rsidRDefault="00972809" w:rsidP="009A455A">
            <w:pPr>
              <w:pStyle w:val="ListParagraph"/>
              <w:numPr>
                <w:ilvl w:val="0"/>
                <w:numId w:val="20"/>
              </w:numPr>
              <w:jc w:val="right"/>
            </w:pPr>
          </w:p>
        </w:tc>
      </w:tr>
      <w:tr w:rsidR="00972809" w:rsidTr="003E1ACB">
        <w:tc>
          <w:tcPr>
            <w:tcW w:w="294" w:type="pct"/>
            <w:vAlign w:val="center"/>
          </w:tcPr>
          <w:p w:rsidR="00972809" w:rsidRDefault="00972809" w:rsidP="009A455A"/>
        </w:tc>
        <w:tc>
          <w:tcPr>
            <w:tcW w:w="3911" w:type="pct"/>
            <w:tcMar>
              <w:left w:w="0" w:type="dxa"/>
              <w:right w:w="0" w:type="dxa"/>
            </w:tcMar>
            <w:vAlign w:val="center"/>
          </w:tcPr>
          <w:p w:rsidR="00972809" w:rsidRDefault="004317F8" w:rsidP="009A455A">
            <w:r w:rsidRPr="0049354B">
              <w:rPr>
                <w:position w:val="-62"/>
              </w:rPr>
              <w:object w:dxaOrig="4260" w:dyaOrig="1340">
                <v:shape id="_x0000_i1032" type="#_x0000_t75" style="width:156.2pt;height:48.2pt" o:ole="">
                  <v:imagedata r:id="rId20" o:title=""/>
                </v:shape>
                <o:OLEObject Type="Embed" ProgID="Equation.3" ShapeID="_x0000_i1032" DrawAspect="Content" ObjectID="_1304690031" r:id="rId21"/>
              </w:object>
            </w:r>
          </w:p>
        </w:tc>
        <w:tc>
          <w:tcPr>
            <w:tcW w:w="794" w:type="pct"/>
            <w:tcMar>
              <w:left w:w="0" w:type="dxa"/>
              <w:right w:w="0" w:type="dxa"/>
            </w:tcMar>
            <w:vAlign w:val="center"/>
          </w:tcPr>
          <w:p w:rsidR="00972809" w:rsidRDefault="00972809" w:rsidP="009A455A">
            <w:pPr>
              <w:pStyle w:val="ListParagraph"/>
              <w:numPr>
                <w:ilvl w:val="0"/>
                <w:numId w:val="20"/>
              </w:numPr>
              <w:jc w:val="right"/>
            </w:pPr>
          </w:p>
        </w:tc>
      </w:tr>
    </w:tbl>
    <w:p w:rsidR="00552149" w:rsidRDefault="00972809">
      <w:pPr>
        <w:pStyle w:val="BodyText"/>
      </w:pPr>
      <w:proofErr w:type="gramStart"/>
      <w:r>
        <w:t>whe</w:t>
      </w:r>
      <w:r w:rsidR="00B56FD3">
        <w:t>r</w:t>
      </w:r>
      <w:r>
        <w:t>e</w:t>
      </w:r>
      <w:proofErr w:type="gramEnd"/>
    </w:p>
    <w:tbl>
      <w:tblPr>
        <w:tblStyle w:val="TableGrid"/>
        <w:tblW w:w="4875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63"/>
        <w:gridCol w:w="3517"/>
        <w:gridCol w:w="715"/>
      </w:tblGrid>
      <w:tr w:rsidR="00972809" w:rsidTr="009A455A">
        <w:tc>
          <w:tcPr>
            <w:tcW w:w="293" w:type="pct"/>
            <w:vAlign w:val="center"/>
          </w:tcPr>
          <w:p w:rsidR="00972809" w:rsidRDefault="00972809" w:rsidP="009A455A"/>
        </w:tc>
        <w:tc>
          <w:tcPr>
            <w:tcW w:w="3912" w:type="pct"/>
            <w:tcMar>
              <w:left w:w="0" w:type="dxa"/>
              <w:right w:w="0" w:type="dxa"/>
            </w:tcMar>
            <w:vAlign w:val="center"/>
          </w:tcPr>
          <w:p w:rsidR="00972809" w:rsidRDefault="004317F8" w:rsidP="009A455A">
            <w:r w:rsidRPr="0049354B">
              <w:rPr>
                <w:position w:val="-30"/>
              </w:rPr>
              <w:object w:dxaOrig="2600" w:dyaOrig="680">
                <v:shape id="_x0000_i1033" type="#_x0000_t75" style="width:102.85pt;height:25.05pt" o:ole="">
                  <v:imagedata r:id="rId22" o:title=""/>
                </v:shape>
                <o:OLEObject Type="Embed" ProgID="Equation.3" ShapeID="_x0000_i1033" DrawAspect="Content" ObjectID="_1304690032" r:id="rId23"/>
              </w:object>
            </w:r>
          </w:p>
        </w:tc>
        <w:tc>
          <w:tcPr>
            <w:tcW w:w="795" w:type="pct"/>
            <w:tcMar>
              <w:left w:w="0" w:type="dxa"/>
              <w:right w:w="0" w:type="dxa"/>
            </w:tcMar>
            <w:vAlign w:val="center"/>
          </w:tcPr>
          <w:p w:rsidR="00972809" w:rsidRDefault="00972809" w:rsidP="009A455A">
            <w:pPr>
              <w:pStyle w:val="ListParagraph"/>
              <w:numPr>
                <w:ilvl w:val="0"/>
                <w:numId w:val="20"/>
              </w:numPr>
              <w:jc w:val="right"/>
            </w:pPr>
          </w:p>
        </w:tc>
      </w:tr>
    </w:tbl>
    <w:p w:rsidR="00552149" w:rsidRDefault="00552149">
      <w:pPr>
        <w:pStyle w:val="BodyText"/>
      </w:pPr>
    </w:p>
    <w:tbl>
      <w:tblPr>
        <w:tblStyle w:val="TableGrid"/>
        <w:tblW w:w="4875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63"/>
        <w:gridCol w:w="3517"/>
        <w:gridCol w:w="715"/>
      </w:tblGrid>
      <w:tr w:rsidR="007660A8" w:rsidTr="009A455A">
        <w:tc>
          <w:tcPr>
            <w:tcW w:w="293" w:type="pct"/>
            <w:vAlign w:val="center"/>
          </w:tcPr>
          <w:p w:rsidR="007660A8" w:rsidRDefault="007660A8" w:rsidP="009A455A"/>
        </w:tc>
        <w:tc>
          <w:tcPr>
            <w:tcW w:w="3912" w:type="pct"/>
            <w:tcMar>
              <w:left w:w="0" w:type="dxa"/>
              <w:right w:w="0" w:type="dxa"/>
            </w:tcMar>
            <w:vAlign w:val="center"/>
          </w:tcPr>
          <w:p w:rsidR="007660A8" w:rsidRDefault="004317F8" w:rsidP="009A455A">
            <w:r w:rsidRPr="0049354B">
              <w:rPr>
                <w:position w:val="-30"/>
              </w:rPr>
              <w:object w:dxaOrig="2220" w:dyaOrig="680">
                <v:shape id="_x0000_i1034" type="#_x0000_t75" style="width:93.2pt;height:27pt" o:ole="">
                  <v:imagedata r:id="rId24" o:title=""/>
                </v:shape>
                <o:OLEObject Type="Embed" ProgID="Equation.3" ShapeID="_x0000_i1034" DrawAspect="Content" ObjectID="_1304690033" r:id="rId25"/>
              </w:object>
            </w:r>
          </w:p>
        </w:tc>
        <w:tc>
          <w:tcPr>
            <w:tcW w:w="795" w:type="pct"/>
            <w:tcMar>
              <w:left w:w="0" w:type="dxa"/>
              <w:right w:w="0" w:type="dxa"/>
            </w:tcMar>
            <w:vAlign w:val="center"/>
          </w:tcPr>
          <w:p w:rsidR="007660A8" w:rsidRDefault="007660A8" w:rsidP="009A455A">
            <w:pPr>
              <w:pStyle w:val="ListParagraph"/>
              <w:numPr>
                <w:ilvl w:val="0"/>
                <w:numId w:val="20"/>
              </w:numPr>
              <w:jc w:val="right"/>
            </w:pPr>
          </w:p>
        </w:tc>
      </w:tr>
    </w:tbl>
    <w:p w:rsidR="00552149" w:rsidRDefault="00972809">
      <w:pPr>
        <w:pStyle w:val="BodyText"/>
      </w:pPr>
      <w:proofErr w:type="gramStart"/>
      <w:r>
        <w:t>and</w:t>
      </w:r>
      <w:proofErr w:type="gramEnd"/>
    </w:p>
    <w:tbl>
      <w:tblPr>
        <w:tblStyle w:val="TableGrid"/>
        <w:tblW w:w="4875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63"/>
        <w:gridCol w:w="3517"/>
        <w:gridCol w:w="715"/>
      </w:tblGrid>
      <w:tr w:rsidR="00972809" w:rsidTr="009A455A">
        <w:tc>
          <w:tcPr>
            <w:tcW w:w="293" w:type="pct"/>
            <w:vAlign w:val="center"/>
          </w:tcPr>
          <w:p w:rsidR="00972809" w:rsidRDefault="00972809" w:rsidP="009A455A"/>
        </w:tc>
        <w:tc>
          <w:tcPr>
            <w:tcW w:w="3912" w:type="pct"/>
            <w:tcMar>
              <w:left w:w="0" w:type="dxa"/>
              <w:right w:w="0" w:type="dxa"/>
            </w:tcMar>
            <w:vAlign w:val="center"/>
          </w:tcPr>
          <w:p w:rsidR="00972809" w:rsidRDefault="00972809" w:rsidP="009A455A">
            <w:r w:rsidRPr="00972809">
              <w:rPr>
                <w:position w:val="-14"/>
              </w:rPr>
              <w:object w:dxaOrig="5760" w:dyaOrig="540">
                <v:shape id="_x0000_i1035" type="#_x0000_t75" style="width:2in;height:13.5pt" o:ole="">
                  <v:imagedata r:id="rId26" o:title=""/>
                </v:shape>
                <o:OLEObject Type="Embed" ProgID="Equation.3" ShapeID="_x0000_i1035" DrawAspect="Content" ObjectID="_1304690034" r:id="rId27"/>
              </w:object>
            </w:r>
          </w:p>
        </w:tc>
        <w:tc>
          <w:tcPr>
            <w:tcW w:w="795" w:type="pct"/>
            <w:tcMar>
              <w:left w:w="0" w:type="dxa"/>
              <w:right w:w="0" w:type="dxa"/>
            </w:tcMar>
            <w:vAlign w:val="center"/>
          </w:tcPr>
          <w:p w:rsidR="00972809" w:rsidRDefault="00972809" w:rsidP="009A455A">
            <w:pPr>
              <w:pStyle w:val="ListParagraph"/>
              <w:numPr>
                <w:ilvl w:val="0"/>
                <w:numId w:val="20"/>
              </w:numPr>
              <w:jc w:val="right"/>
            </w:pPr>
          </w:p>
        </w:tc>
      </w:tr>
    </w:tbl>
    <w:p w:rsidR="00D65C3B" w:rsidRDefault="002208D3">
      <w:pPr>
        <w:pStyle w:val="ISIPparagraph"/>
        <w:spacing w:before="120"/>
        <w:ind w:firstLine="0"/>
      </w:pPr>
      <w:r>
        <w:t>Refer to comments on estimation of predictor coefficients and variances for MAR in</w:t>
      </w:r>
      <w:r w:rsidR="00D65C3B">
        <w:t> </w:t>
      </w:r>
      <w:r w:rsidR="00D83D12">
        <w:fldChar w:fldCharType="begin"/>
      </w:r>
      <w:r w:rsidR="006F6770">
        <w:instrText xml:space="preserve"> REF _Ref227591256 \r \h </w:instrText>
      </w:r>
      <w:r w:rsidR="00D83D12">
        <w:fldChar w:fldCharType="separate"/>
      </w:r>
      <w:r w:rsidR="00720C71">
        <w:t>[6]</w:t>
      </w:r>
      <w:r w:rsidR="00D83D12">
        <w:fldChar w:fldCharType="end"/>
      </w:r>
      <w:r>
        <w:t xml:space="preserve"> for fu</w:t>
      </w:r>
      <w:r w:rsidR="00C85D04">
        <w:t>r</w:t>
      </w:r>
      <w:r>
        <w:t>ther details.</w:t>
      </w:r>
    </w:p>
    <w:p w:rsidR="0087534F" w:rsidRDefault="002208D3">
      <w:pPr>
        <w:spacing w:after="120"/>
        <w:ind w:firstLine="274"/>
      </w:pPr>
      <w:r>
        <w:t>However, a complication arises with respect to the estimation o</w:t>
      </w:r>
      <w:r w:rsidR="00D65C3B">
        <w:t xml:space="preserve">f </w:t>
      </w:r>
      <w:r>
        <w:t>gating coefficients. There is no closed</w:t>
      </w:r>
      <w:r w:rsidR="00D65C3B">
        <w:t>-</w:t>
      </w:r>
      <w:r>
        <w:t xml:space="preserve">form solution for these, </w:t>
      </w:r>
      <w:r w:rsidR="00D65C3B">
        <w:t xml:space="preserve">and </w:t>
      </w:r>
      <w:r>
        <w:t xml:space="preserve">hence a Newton gradient-ascent approach </w:t>
      </w:r>
      <w:r w:rsidR="00D65C3B">
        <w:t>must be used:</w:t>
      </w:r>
    </w:p>
    <w:tbl>
      <w:tblPr>
        <w:tblStyle w:val="TableGrid"/>
        <w:tblW w:w="4875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63"/>
        <w:gridCol w:w="3517"/>
        <w:gridCol w:w="715"/>
      </w:tblGrid>
      <w:tr w:rsidR="00AF2DD5" w:rsidTr="0087534F">
        <w:tc>
          <w:tcPr>
            <w:tcW w:w="293" w:type="pct"/>
            <w:vAlign w:val="center"/>
          </w:tcPr>
          <w:p w:rsidR="00AF2DD5" w:rsidRDefault="00AF2DD5" w:rsidP="0087534F"/>
        </w:tc>
        <w:tc>
          <w:tcPr>
            <w:tcW w:w="3912" w:type="pct"/>
            <w:tcMar>
              <w:left w:w="0" w:type="dxa"/>
              <w:right w:w="0" w:type="dxa"/>
            </w:tcMar>
            <w:vAlign w:val="center"/>
          </w:tcPr>
          <w:p w:rsidR="00AF2DD5" w:rsidRDefault="004317F8" w:rsidP="0087534F">
            <w:r w:rsidRPr="0049354B">
              <w:rPr>
                <w:position w:val="-28"/>
              </w:rPr>
              <w:object w:dxaOrig="1620" w:dyaOrig="639">
                <v:shape id="_x0000_i1036" type="#_x0000_t75" style="width:65.55pt;height:28.3pt" o:ole="">
                  <v:imagedata r:id="rId28" o:title=""/>
                </v:shape>
                <o:OLEObject Type="Embed" ProgID="Equation.3" ShapeID="_x0000_i1036" DrawAspect="Content" ObjectID="_1304690035" r:id="rId29"/>
              </w:object>
            </w:r>
          </w:p>
        </w:tc>
        <w:tc>
          <w:tcPr>
            <w:tcW w:w="795" w:type="pct"/>
            <w:tcMar>
              <w:left w:w="0" w:type="dxa"/>
              <w:right w:w="0" w:type="dxa"/>
            </w:tcMar>
            <w:vAlign w:val="center"/>
          </w:tcPr>
          <w:p w:rsidR="00AF2DD5" w:rsidRDefault="00AF2DD5" w:rsidP="0087534F">
            <w:pPr>
              <w:pStyle w:val="ListParagraph"/>
              <w:numPr>
                <w:ilvl w:val="0"/>
                <w:numId w:val="20"/>
              </w:numPr>
              <w:jc w:val="right"/>
            </w:pPr>
          </w:p>
        </w:tc>
      </w:tr>
      <w:tr w:rsidR="00AF2DD5" w:rsidTr="0087534F">
        <w:tc>
          <w:tcPr>
            <w:tcW w:w="293" w:type="pct"/>
            <w:vAlign w:val="center"/>
          </w:tcPr>
          <w:p w:rsidR="00AF2DD5" w:rsidRDefault="00AF2DD5" w:rsidP="0087534F"/>
        </w:tc>
        <w:tc>
          <w:tcPr>
            <w:tcW w:w="3912" w:type="pct"/>
            <w:tcMar>
              <w:left w:w="0" w:type="dxa"/>
              <w:right w:w="0" w:type="dxa"/>
            </w:tcMar>
            <w:vAlign w:val="center"/>
          </w:tcPr>
          <w:p w:rsidR="00AF2DD5" w:rsidRPr="00972809" w:rsidRDefault="004317F8" w:rsidP="0087534F">
            <w:pPr>
              <w:rPr>
                <w:position w:val="-42"/>
              </w:rPr>
            </w:pPr>
            <w:r w:rsidRPr="0049354B">
              <w:rPr>
                <w:position w:val="-28"/>
              </w:rPr>
              <w:object w:dxaOrig="1560" w:dyaOrig="639">
                <v:shape id="_x0000_i1037" type="#_x0000_t75" style="width:65.55pt;height:28.95pt" o:ole="">
                  <v:imagedata r:id="rId30" o:title=""/>
                </v:shape>
                <o:OLEObject Type="Embed" ProgID="Equation.3" ShapeID="_x0000_i1037" DrawAspect="Content" ObjectID="_1304690036" r:id="rId31"/>
              </w:object>
            </w:r>
          </w:p>
        </w:tc>
        <w:tc>
          <w:tcPr>
            <w:tcW w:w="795" w:type="pct"/>
            <w:tcMar>
              <w:left w:w="0" w:type="dxa"/>
              <w:right w:w="0" w:type="dxa"/>
            </w:tcMar>
            <w:vAlign w:val="center"/>
          </w:tcPr>
          <w:p w:rsidR="00AF2DD5" w:rsidRDefault="00AF2DD5" w:rsidP="0087534F">
            <w:pPr>
              <w:pStyle w:val="ListParagraph"/>
              <w:numPr>
                <w:ilvl w:val="0"/>
                <w:numId w:val="20"/>
              </w:numPr>
              <w:jc w:val="right"/>
            </w:pPr>
          </w:p>
        </w:tc>
      </w:tr>
    </w:tbl>
    <w:p w:rsidR="002208D3" w:rsidRDefault="00D83D12">
      <w:pPr>
        <w:pStyle w:val="ISIPparagraph"/>
        <w:spacing w:before="120"/>
        <w:ind w:firstLine="0"/>
      </w:pPr>
      <w:r>
        <w:rPr>
          <w:noProof/>
        </w:rPr>
        <w:pict>
          <v:shape id="_x0000_s2011" type="#_x0000_t202" style="position:absolute;left:0;text-align:left;margin-left:1470pt;margin-top:0;width:223.75pt;height:199.8pt;z-index:251661312;mso-wrap-distance-top:7.2pt;mso-position-horizontal:right;mso-position-horizontal-relative:margin;mso-position-vertical:top;mso-position-vertical-relative:margin;mso-width-relative:margin;mso-height-relative:margin" o:allowoverlap="f" stroked="f">
            <v:textbox style="mso-next-textbox:#_x0000_s2011" inset="0,7.2pt,0,7.2pt">
              <w:txbxContent>
                <w:p w:rsidR="0087534F" w:rsidRPr="0072147A" w:rsidRDefault="0087534F" w:rsidP="00142791">
                  <w:pPr>
                    <w:pStyle w:val="Caption"/>
                    <w:spacing w:before="0" w:after="120"/>
                    <w:ind w:left="288" w:right="288"/>
                    <w:jc w:val="left"/>
                  </w:pPr>
                  <w:bookmarkStart w:id="4" w:name="_Ref195891648"/>
                  <w:r>
                    <w:t xml:space="preserve">Table </w:t>
                  </w:r>
                  <w:fldSimple w:instr=" SEQ Table \* ARABIC ">
                    <w:r w:rsidR="00720C71">
                      <w:rPr>
                        <w:noProof/>
                      </w:rPr>
                      <w:t>1</w:t>
                    </w:r>
                  </w:fldSimple>
                  <w:bookmarkEnd w:id="4"/>
                  <w:r>
                    <w:t xml:space="preserve">: </w:t>
                  </w:r>
                  <w:r w:rsidRPr="003838F7">
                    <w:rPr>
                      <w:i/>
                    </w:rPr>
                    <w:t xml:space="preserve">Classification Error Rate (%) with 12 speech MFCC-like synthetic features for GMM and </w:t>
                  </w:r>
                  <w:proofErr w:type="spellStart"/>
                  <w:r w:rsidRPr="003838F7">
                    <w:rPr>
                      <w:i/>
                    </w:rPr>
                    <w:t>MixAR</w:t>
                  </w:r>
                  <w:proofErr w:type="spellEnd"/>
                  <w:r w:rsidRPr="003838F7">
                    <w:rPr>
                      <w:i/>
                    </w:rPr>
                    <w:t xml:space="preserve"> </w:t>
                  </w:r>
                  <w:r>
                    <w:rPr>
                      <w:i/>
                    </w:rPr>
                    <w:t>Number</w:t>
                  </w:r>
                  <w:r w:rsidRPr="003838F7">
                    <w:rPr>
                      <w:i/>
                    </w:rPr>
                    <w:t xml:space="preserve"> of parameters in each case is in </w:t>
                  </w:r>
                  <w:proofErr w:type="spellStart"/>
                  <w:r w:rsidRPr="003838F7">
                    <w:rPr>
                      <w:i/>
                    </w:rPr>
                    <w:t>paranthesis</w:t>
                  </w:r>
                  <w:proofErr w:type="spellEnd"/>
                  <w:r w:rsidRPr="003838F7">
                    <w:rPr>
                      <w:i/>
                    </w:rPr>
                    <w:t>. (*: For this case, GMM performed better with only static features, and this value is stated)</w:t>
                  </w:r>
                  <w:r w:rsidRPr="003838F7">
                    <w:t>.</w:t>
                  </w:r>
                </w:p>
                <w:tbl>
                  <w:tblPr>
                    <w:tblW w:w="0" w:type="auto"/>
                    <w:jc w:val="center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4A0"/>
                  </w:tblPr>
                  <w:tblGrid>
                    <w:gridCol w:w="1429"/>
                    <w:gridCol w:w="1435"/>
                    <w:gridCol w:w="1435"/>
                  </w:tblGrid>
                  <w:tr w:rsidR="0087534F" w:rsidRPr="00886825" w:rsidTr="00121D25">
                    <w:trPr>
                      <w:trHeight w:val="431"/>
                      <w:jc w:val="center"/>
                    </w:trPr>
                    <w:tc>
                      <w:tcPr>
                        <w:tcW w:w="1429" w:type="dxa"/>
                        <w:tcMar>
                          <w:left w:w="43" w:type="dxa"/>
                          <w:right w:w="43" w:type="dxa"/>
                        </w:tcMar>
                      </w:tcPr>
                      <w:p w:rsidR="00830882" w:rsidRDefault="0087534F">
                        <w:pPr>
                          <w:pStyle w:val="IESParagraph"/>
                          <w:ind w:firstLine="0"/>
                          <w:jc w:val="center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α</w:t>
                        </w:r>
                      </w:p>
                    </w:tc>
                    <w:tc>
                      <w:tcPr>
                        <w:tcW w:w="1435" w:type="dxa"/>
                      </w:tcPr>
                      <w:p w:rsidR="0087534F" w:rsidRDefault="0087534F">
                        <w:pPr>
                          <w:pStyle w:val="IESParagraph"/>
                          <w:ind w:firstLine="0"/>
                          <w:jc w:val="center"/>
                        </w:pPr>
                        <w:r>
                          <w:t>GMM-8mix.</w:t>
                        </w:r>
                        <w:r w:rsidRPr="00886825">
                          <w:t xml:space="preserve"> </w:t>
                        </w:r>
                        <w:r>
                          <w:t>Static+</w:t>
                        </w:r>
                        <w:r w:rsidRPr="00BE41CF">
                          <w:t>∆</w:t>
                        </w:r>
                      </w:p>
                    </w:tc>
                    <w:tc>
                      <w:tcPr>
                        <w:tcW w:w="1435" w:type="dxa"/>
                      </w:tcPr>
                      <w:p w:rsidR="0087534F" w:rsidRDefault="0087534F">
                        <w:pPr>
                          <w:pStyle w:val="IESParagraph"/>
                          <w:ind w:firstLine="0"/>
                          <w:jc w:val="center"/>
                        </w:pPr>
                        <w:r>
                          <w:t>MixAR-4-mix.</w:t>
                        </w:r>
                        <w:r w:rsidRPr="00886825">
                          <w:t xml:space="preserve"> </w:t>
                        </w:r>
                        <w:r>
                          <w:t>Static</w:t>
                        </w:r>
                      </w:p>
                    </w:tc>
                  </w:tr>
                  <w:tr w:rsidR="0087534F" w:rsidRPr="00886825" w:rsidTr="00121D25">
                    <w:trPr>
                      <w:trHeight w:val="269"/>
                      <w:jc w:val="center"/>
                    </w:trPr>
                    <w:tc>
                      <w:tcPr>
                        <w:tcW w:w="1429" w:type="dxa"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:rsidR="00830882" w:rsidRDefault="0087534F">
                        <w:pPr>
                          <w:pStyle w:val="IESParagraph"/>
                          <w:spacing w:before="0"/>
                        </w:pPr>
                        <w:r w:rsidRPr="00886825">
                          <w:t>0.0*</w:t>
                        </w:r>
                      </w:p>
                    </w:tc>
                    <w:tc>
                      <w:tcPr>
                        <w:tcW w:w="1435" w:type="dxa"/>
                        <w:vAlign w:val="center"/>
                      </w:tcPr>
                      <w:p w:rsidR="0087534F" w:rsidRPr="00886825" w:rsidRDefault="0087534F" w:rsidP="00142791">
                        <w:pPr>
                          <w:pStyle w:val="TableContents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886825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1.5 (288)</w:t>
                        </w:r>
                      </w:p>
                    </w:tc>
                    <w:tc>
                      <w:tcPr>
                        <w:tcW w:w="1435" w:type="dxa"/>
                        <w:vAlign w:val="center"/>
                      </w:tcPr>
                      <w:p w:rsidR="0087534F" w:rsidRPr="00886825" w:rsidRDefault="0087534F" w:rsidP="00142791">
                        <w:pPr>
                          <w:pStyle w:val="TableContents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886825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1.5 (240)</w:t>
                        </w:r>
                      </w:p>
                    </w:tc>
                  </w:tr>
                  <w:tr w:rsidR="0087534F" w:rsidRPr="00886825" w:rsidTr="00121D25">
                    <w:trPr>
                      <w:trHeight w:val="341"/>
                      <w:jc w:val="center"/>
                    </w:trPr>
                    <w:tc>
                      <w:tcPr>
                        <w:tcW w:w="1429" w:type="dxa"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:rsidR="00830882" w:rsidRDefault="0087534F">
                        <w:pPr>
                          <w:pStyle w:val="IESParagraph"/>
                          <w:spacing w:before="0"/>
                        </w:pPr>
                        <w:r w:rsidRPr="00886825">
                          <w:t>0.25</w:t>
                        </w:r>
                      </w:p>
                    </w:tc>
                    <w:tc>
                      <w:tcPr>
                        <w:tcW w:w="1435" w:type="dxa"/>
                        <w:vAlign w:val="center"/>
                      </w:tcPr>
                      <w:p w:rsidR="0087534F" w:rsidRPr="00886825" w:rsidRDefault="0087534F" w:rsidP="00142791">
                        <w:pPr>
                          <w:pStyle w:val="TableContents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886825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3.25 (576)</w:t>
                        </w:r>
                      </w:p>
                    </w:tc>
                    <w:tc>
                      <w:tcPr>
                        <w:tcW w:w="1435" w:type="dxa"/>
                        <w:vAlign w:val="center"/>
                      </w:tcPr>
                      <w:p w:rsidR="0087534F" w:rsidRPr="00886825" w:rsidRDefault="0087534F" w:rsidP="00142791">
                        <w:pPr>
                          <w:pStyle w:val="TableContents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886825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3.5 (240)</w:t>
                        </w:r>
                      </w:p>
                    </w:tc>
                  </w:tr>
                  <w:tr w:rsidR="0087534F" w:rsidRPr="00886825" w:rsidTr="00121D25">
                    <w:trPr>
                      <w:trHeight w:val="278"/>
                      <w:jc w:val="center"/>
                    </w:trPr>
                    <w:tc>
                      <w:tcPr>
                        <w:tcW w:w="1429" w:type="dxa"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:rsidR="00830882" w:rsidRDefault="0087534F">
                        <w:pPr>
                          <w:pStyle w:val="IESParagraph"/>
                          <w:spacing w:before="0"/>
                        </w:pPr>
                        <w:r w:rsidRPr="00886825">
                          <w:t>0.50</w:t>
                        </w:r>
                      </w:p>
                    </w:tc>
                    <w:tc>
                      <w:tcPr>
                        <w:tcW w:w="1435" w:type="dxa"/>
                        <w:vAlign w:val="center"/>
                      </w:tcPr>
                      <w:p w:rsidR="0087534F" w:rsidRPr="00886825" w:rsidRDefault="0087534F" w:rsidP="00142791">
                        <w:pPr>
                          <w:pStyle w:val="TableContents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886825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10.25 (576)</w:t>
                        </w:r>
                      </w:p>
                    </w:tc>
                    <w:tc>
                      <w:tcPr>
                        <w:tcW w:w="1435" w:type="dxa"/>
                        <w:vAlign w:val="center"/>
                      </w:tcPr>
                      <w:p w:rsidR="0087534F" w:rsidRPr="00886825" w:rsidRDefault="0087534F" w:rsidP="00142791">
                        <w:pPr>
                          <w:pStyle w:val="TableContents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886825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6.25 (240)</w:t>
                        </w:r>
                      </w:p>
                    </w:tc>
                  </w:tr>
                  <w:tr w:rsidR="0087534F" w:rsidRPr="00886825" w:rsidTr="00121D25">
                    <w:trPr>
                      <w:trHeight w:val="269"/>
                      <w:jc w:val="center"/>
                    </w:trPr>
                    <w:tc>
                      <w:tcPr>
                        <w:tcW w:w="1429" w:type="dxa"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:rsidR="00830882" w:rsidRDefault="0087534F">
                        <w:pPr>
                          <w:pStyle w:val="IESParagraph"/>
                          <w:spacing w:before="0"/>
                        </w:pPr>
                        <w:r w:rsidRPr="00886825">
                          <w:t>0.75</w:t>
                        </w:r>
                      </w:p>
                    </w:tc>
                    <w:tc>
                      <w:tcPr>
                        <w:tcW w:w="1435" w:type="dxa"/>
                        <w:vAlign w:val="center"/>
                      </w:tcPr>
                      <w:p w:rsidR="0087534F" w:rsidRPr="00886825" w:rsidRDefault="0087534F" w:rsidP="00142791">
                        <w:pPr>
                          <w:pStyle w:val="TableContents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886825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24.75 (576)</w:t>
                        </w:r>
                      </w:p>
                    </w:tc>
                    <w:tc>
                      <w:tcPr>
                        <w:tcW w:w="1435" w:type="dxa"/>
                        <w:vAlign w:val="center"/>
                      </w:tcPr>
                      <w:p w:rsidR="0087534F" w:rsidRPr="00886825" w:rsidRDefault="0087534F" w:rsidP="00142791">
                        <w:pPr>
                          <w:pStyle w:val="TableContents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886825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9.75 (240)</w:t>
                        </w:r>
                      </w:p>
                    </w:tc>
                  </w:tr>
                  <w:tr w:rsidR="0087534F" w:rsidRPr="00886825" w:rsidTr="00121D25">
                    <w:trPr>
                      <w:trHeight w:val="206"/>
                      <w:jc w:val="center"/>
                    </w:trPr>
                    <w:tc>
                      <w:tcPr>
                        <w:tcW w:w="1429" w:type="dxa"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:rsidR="00830882" w:rsidRDefault="0087534F">
                        <w:pPr>
                          <w:pStyle w:val="IESParagraph"/>
                          <w:spacing w:before="0"/>
                        </w:pPr>
                        <w:r w:rsidRPr="00886825">
                          <w:t>1.0</w:t>
                        </w:r>
                      </w:p>
                    </w:tc>
                    <w:tc>
                      <w:tcPr>
                        <w:tcW w:w="1435" w:type="dxa"/>
                        <w:vAlign w:val="center"/>
                      </w:tcPr>
                      <w:p w:rsidR="0087534F" w:rsidRPr="00886825" w:rsidRDefault="0087534F" w:rsidP="00142791">
                        <w:pPr>
                          <w:pStyle w:val="TableContents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886825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26.75 (576)</w:t>
                        </w:r>
                      </w:p>
                    </w:tc>
                    <w:tc>
                      <w:tcPr>
                        <w:tcW w:w="1435" w:type="dxa"/>
                        <w:vAlign w:val="center"/>
                      </w:tcPr>
                      <w:p w:rsidR="0087534F" w:rsidRPr="00886825" w:rsidRDefault="0087534F" w:rsidP="00142791">
                        <w:pPr>
                          <w:pStyle w:val="TableContents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886825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13.75 (240)</w:t>
                        </w:r>
                      </w:p>
                    </w:tc>
                  </w:tr>
                </w:tbl>
                <w:p w:rsidR="0087534F" w:rsidRDefault="0087534F" w:rsidP="00142791">
                  <w:pPr>
                    <w:pStyle w:val="Caption"/>
                    <w:keepNext/>
                    <w:jc w:val="left"/>
                  </w:pPr>
                </w:p>
              </w:txbxContent>
            </v:textbox>
            <w10:wrap type="square" anchorx="margin" anchory="margin"/>
          </v:shape>
        </w:pict>
      </w:r>
      <w:proofErr w:type="gramStart"/>
      <w:r w:rsidR="003E1ACB">
        <w:t>where</w:t>
      </w:r>
      <w:proofErr w:type="gramEnd"/>
      <w:r w:rsidR="003E1ACB">
        <w:t xml:space="preserve"> </w:t>
      </w:r>
      <w:r w:rsidR="00B569B8" w:rsidRPr="00B569B8">
        <w:rPr>
          <w:i/>
        </w:rPr>
        <w:t>Q</w:t>
      </w:r>
      <w:r w:rsidR="003E1ACB">
        <w:t xml:space="preserve"> denotes the likelihood of the </w:t>
      </w:r>
      <w:proofErr w:type="spellStart"/>
      <w:r w:rsidR="003E1ACB">
        <w:t>MixAR</w:t>
      </w:r>
      <w:proofErr w:type="spellEnd"/>
      <w:r w:rsidR="003E1ACB">
        <w:t xml:space="preserve"> model for the training data. </w:t>
      </w:r>
      <w:proofErr w:type="gramStart"/>
      <w:r w:rsidR="00272CAF">
        <w:t>β</w:t>
      </w:r>
      <w:proofErr w:type="gramEnd"/>
      <w:r w:rsidR="00AF2DD5">
        <w:t xml:space="preserve"> </w:t>
      </w:r>
      <w:r w:rsidR="002208D3">
        <w:t xml:space="preserve">and </w:t>
      </w:r>
      <w:r w:rsidR="00AF2DD5">
        <w:t>Δ</w:t>
      </w:r>
      <w:r w:rsidR="002208D3">
        <w:t xml:space="preserve"> are design parameters to be chosen empirically. In our experiments, we found that </w:t>
      </w:r>
      <w:r w:rsidR="00AF2DD5">
        <w:t>fixing</w:t>
      </w:r>
      <w:r w:rsidR="002208D3">
        <w:t xml:space="preserve"> </w:t>
      </w:r>
      <w:r w:rsidR="00AF2DD5">
        <w:t xml:space="preserve">Δ </w:t>
      </w:r>
      <w:r w:rsidR="002208D3">
        <w:t>=</w:t>
      </w:r>
      <w:r w:rsidR="00D65C3B">
        <w:t> </w:t>
      </w:r>
      <w:r w:rsidR="002208D3">
        <w:t xml:space="preserve">0.01 </w:t>
      </w:r>
      <w:r w:rsidR="00AF2DD5">
        <w:t xml:space="preserve">and </w:t>
      </w:r>
      <w:r w:rsidR="002208D3">
        <w:t xml:space="preserve">running 10 iterations each with </w:t>
      </w:r>
      <w:r w:rsidR="00272CAF">
        <w:t>β</w:t>
      </w:r>
      <w:r w:rsidR="00D65C3B">
        <w:t> </w:t>
      </w:r>
      <w:r w:rsidR="002208D3">
        <w:t>=</w:t>
      </w:r>
      <w:r w:rsidR="00D65C3B">
        <w:t> </w:t>
      </w:r>
      <w:r w:rsidR="002208D3">
        <w:t xml:space="preserve">0.9, </w:t>
      </w:r>
      <w:r w:rsidR="00272CAF">
        <w:t>β</w:t>
      </w:r>
      <w:r w:rsidR="00D65C3B">
        <w:t> </w:t>
      </w:r>
      <w:r w:rsidR="002208D3">
        <w:t>=</w:t>
      </w:r>
      <w:r w:rsidR="00D65C3B">
        <w:t> </w:t>
      </w:r>
      <w:r w:rsidR="002208D3">
        <w:t xml:space="preserve">0.5, and </w:t>
      </w:r>
      <w:r w:rsidR="00272CAF">
        <w:t>β</w:t>
      </w:r>
      <w:r w:rsidR="00D65C3B">
        <w:t> </w:t>
      </w:r>
      <w:r w:rsidR="002208D3">
        <w:t>=</w:t>
      </w:r>
      <w:r w:rsidR="00D65C3B">
        <w:t> </w:t>
      </w:r>
      <w:r w:rsidR="002208D3">
        <w:t xml:space="preserve">0.2 in succession provided a smooth and </w:t>
      </w:r>
      <w:r w:rsidR="00AF2DD5">
        <w:t xml:space="preserve">reasonably </w:t>
      </w:r>
      <w:r w:rsidR="002208D3">
        <w:t>quick convergence.</w:t>
      </w:r>
    </w:p>
    <w:p w:rsidR="00736357" w:rsidRDefault="00A62390">
      <w:pPr>
        <w:pStyle w:val="Heading1"/>
      </w:pPr>
      <w:r>
        <w:t>Pilot Experiment</w:t>
      </w:r>
      <w:bookmarkStart w:id="5" w:name="_Ref195689198"/>
      <w:r w:rsidR="0049774B">
        <w:t>s</w:t>
      </w:r>
    </w:p>
    <w:p w:rsidR="0087263A" w:rsidRDefault="0087263A" w:rsidP="0087263A">
      <w:r>
        <w:t xml:space="preserve">To better understand the efficacy of the </w:t>
      </w:r>
      <w:proofErr w:type="spellStart"/>
      <w:r>
        <w:t>M</w:t>
      </w:r>
      <w:r w:rsidR="00634A54">
        <w:t>ixA</w:t>
      </w:r>
      <w:r>
        <w:t>R</w:t>
      </w:r>
      <w:proofErr w:type="spellEnd"/>
      <w:r>
        <w:t xml:space="preserve"> model, we evaluated </w:t>
      </w:r>
      <w:r w:rsidR="009F4FA8">
        <w:t>its</w:t>
      </w:r>
      <w:r>
        <w:t xml:space="preserve"> performance on two pattern </w:t>
      </w:r>
      <w:r w:rsidR="00634A54">
        <w:t>classification t</w:t>
      </w:r>
      <w:r>
        <w:t xml:space="preserve">asks. The first task represents </w:t>
      </w:r>
      <w:r w:rsidR="00634A54">
        <w:t xml:space="preserve">generic </w:t>
      </w:r>
      <w:r>
        <w:t>data with known nonlinearities. The second task is a simple classification task</w:t>
      </w:r>
      <w:r w:rsidR="003D1A9C">
        <w:t xml:space="preserve"> with data for the two classes synthesized from models trained on true speaker data</w:t>
      </w:r>
      <w:r>
        <w:t>.</w:t>
      </w:r>
    </w:p>
    <w:p w:rsidR="00552149" w:rsidRDefault="0087263A">
      <w:pPr>
        <w:pStyle w:val="Heading2"/>
      </w:pPr>
      <w:r>
        <w:t>Two-</w:t>
      </w:r>
      <w:r w:rsidR="001931BA">
        <w:t>Way Classification with Synthetic Data</w:t>
      </w:r>
    </w:p>
    <w:p w:rsidR="00552149" w:rsidRDefault="00CB1638">
      <w:pPr>
        <w:pStyle w:val="BodyText"/>
      </w:pPr>
      <w:r>
        <w:t xml:space="preserve">A simple 2-way classification experiment was </w:t>
      </w:r>
      <w:r w:rsidR="00713371">
        <w:t xml:space="preserve">designed </w:t>
      </w:r>
      <w:r>
        <w:t xml:space="preserve">to study the performance of </w:t>
      </w:r>
      <w:proofErr w:type="spellStart"/>
      <w:r>
        <w:t>MixAR</w:t>
      </w:r>
      <w:proofErr w:type="spellEnd"/>
      <w:r>
        <w:t xml:space="preserve"> and GMM. </w:t>
      </w:r>
      <w:r w:rsidR="00713371">
        <w:t>Two</w:t>
      </w:r>
      <w:r>
        <w:t xml:space="preserve">-dimensional data for </w:t>
      </w:r>
      <w:r w:rsidR="00865FED">
        <w:t xml:space="preserve">the </w:t>
      </w:r>
      <w:r>
        <w:t>first class was generated using a linear dynamic system:</w:t>
      </w:r>
    </w:p>
    <w:tbl>
      <w:tblPr>
        <w:tblStyle w:val="TableGrid"/>
        <w:tblW w:w="487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63"/>
        <w:gridCol w:w="3517"/>
        <w:gridCol w:w="715"/>
      </w:tblGrid>
      <w:tr w:rsidR="003112A5" w:rsidTr="00953F24">
        <w:tc>
          <w:tcPr>
            <w:tcW w:w="293" w:type="pct"/>
            <w:vAlign w:val="center"/>
          </w:tcPr>
          <w:p w:rsidR="003112A5" w:rsidRDefault="003112A5" w:rsidP="003112A5"/>
        </w:tc>
        <w:tc>
          <w:tcPr>
            <w:tcW w:w="3912" w:type="pct"/>
            <w:tcMar>
              <w:left w:w="0" w:type="dxa"/>
              <w:right w:w="0" w:type="dxa"/>
            </w:tcMar>
            <w:vAlign w:val="center"/>
          </w:tcPr>
          <w:p w:rsidR="003112A5" w:rsidRDefault="00953F24" w:rsidP="003112A5">
            <w:r w:rsidRPr="003112A5">
              <w:rPr>
                <w:position w:val="-38"/>
              </w:rPr>
              <w:object w:dxaOrig="2520" w:dyaOrig="840">
                <v:shape id="_x0000_i1038" type="#_x0000_t75" style="width:116.35pt;height:39.2pt" o:ole="">
                  <v:imagedata r:id="rId32" o:title=""/>
                </v:shape>
                <o:OLEObject Type="Embed" ProgID="Equation.3" ShapeID="_x0000_i1038" DrawAspect="Content" ObjectID="_1304690037" r:id="rId33"/>
              </w:object>
            </w:r>
          </w:p>
        </w:tc>
        <w:tc>
          <w:tcPr>
            <w:tcW w:w="795" w:type="pct"/>
            <w:tcMar>
              <w:left w:w="0" w:type="dxa"/>
              <w:right w:w="0" w:type="dxa"/>
            </w:tcMar>
            <w:vAlign w:val="center"/>
          </w:tcPr>
          <w:p w:rsidR="003112A5" w:rsidRDefault="003112A5" w:rsidP="003112A5">
            <w:pPr>
              <w:pStyle w:val="ListParagraph"/>
              <w:numPr>
                <w:ilvl w:val="0"/>
                <w:numId w:val="20"/>
              </w:numPr>
              <w:jc w:val="right"/>
            </w:pPr>
          </w:p>
        </w:tc>
      </w:tr>
    </w:tbl>
    <w:p w:rsidR="00552149" w:rsidRDefault="00CB1638">
      <w:pPr>
        <w:pStyle w:val="BodyText"/>
      </w:pPr>
      <w:r>
        <w:t xml:space="preserve">Data for </w:t>
      </w:r>
      <w:r w:rsidR="00865FED">
        <w:t xml:space="preserve">the </w:t>
      </w:r>
      <w:r>
        <w:t xml:space="preserve">second class was generated using the simple nonlinear equation: </w:t>
      </w:r>
    </w:p>
    <w:tbl>
      <w:tblPr>
        <w:tblStyle w:val="TableGrid"/>
        <w:tblW w:w="4875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63"/>
        <w:gridCol w:w="3517"/>
        <w:gridCol w:w="715"/>
      </w:tblGrid>
      <w:tr w:rsidR="003112A5" w:rsidTr="003112A5">
        <w:tc>
          <w:tcPr>
            <w:tcW w:w="293" w:type="pct"/>
            <w:vAlign w:val="center"/>
          </w:tcPr>
          <w:p w:rsidR="003112A5" w:rsidRDefault="003112A5" w:rsidP="003112A5"/>
        </w:tc>
        <w:tc>
          <w:tcPr>
            <w:tcW w:w="3912" w:type="pct"/>
            <w:tcMar>
              <w:left w:w="0" w:type="dxa"/>
              <w:right w:w="0" w:type="dxa"/>
            </w:tcMar>
            <w:vAlign w:val="center"/>
          </w:tcPr>
          <w:p w:rsidR="003112A5" w:rsidRDefault="00966EF9" w:rsidP="003112A5">
            <w:r w:rsidRPr="003112A5">
              <w:rPr>
                <w:position w:val="-38"/>
              </w:rPr>
              <w:object w:dxaOrig="2940" w:dyaOrig="840">
                <v:shape id="_x0000_i1039" type="#_x0000_t75" style="width:136.3pt;height:39.2pt" o:ole="">
                  <v:imagedata r:id="rId34" o:title=""/>
                </v:shape>
                <o:OLEObject Type="Embed" ProgID="Equation.3" ShapeID="_x0000_i1039" DrawAspect="Content" ObjectID="_1304690038" r:id="rId35"/>
              </w:object>
            </w:r>
          </w:p>
        </w:tc>
        <w:tc>
          <w:tcPr>
            <w:tcW w:w="795" w:type="pct"/>
            <w:tcMar>
              <w:left w:w="0" w:type="dxa"/>
              <w:right w:w="0" w:type="dxa"/>
            </w:tcMar>
            <w:vAlign w:val="center"/>
          </w:tcPr>
          <w:p w:rsidR="003112A5" w:rsidRDefault="003112A5" w:rsidP="003112A5">
            <w:pPr>
              <w:pStyle w:val="ListParagraph"/>
              <w:numPr>
                <w:ilvl w:val="0"/>
                <w:numId w:val="20"/>
              </w:numPr>
              <w:jc w:val="right"/>
            </w:pPr>
          </w:p>
        </w:tc>
      </w:tr>
    </w:tbl>
    <w:p w:rsidR="0087534F" w:rsidRDefault="00966EF9">
      <w:pPr>
        <w:spacing w:before="120"/>
      </w:pPr>
      <w:r>
        <w:t xml:space="preserve">In both cases, </w:t>
      </w:r>
      <w:r w:rsidR="009D78C9" w:rsidRPr="009D78C9">
        <w:rPr>
          <w:b/>
          <w:i/>
        </w:rPr>
        <w:t>E</w:t>
      </w:r>
      <w:r w:rsidR="009D78C9">
        <w:t xml:space="preserve"> d</w:t>
      </w:r>
      <w:r>
        <w:t xml:space="preserve">enotes </w:t>
      </w:r>
      <w:r w:rsidR="009D78C9">
        <w:t xml:space="preserve">an </w:t>
      </w:r>
      <w:r>
        <w:t xml:space="preserve">uncorrelated 2-D Gaussian </w:t>
      </w:r>
      <w:r w:rsidR="00713371">
        <w:t xml:space="preserve">(normal) </w:t>
      </w:r>
      <w:r>
        <w:t xml:space="preserve">random variable with </w:t>
      </w:r>
      <w:r w:rsidR="00713371">
        <w:t xml:space="preserve">a zero </w:t>
      </w:r>
      <w:r>
        <w:t>me</w:t>
      </w:r>
      <w:r w:rsidR="009D78C9">
        <w:t>a</w:t>
      </w:r>
      <w:r>
        <w:t>n</w:t>
      </w:r>
      <w:r w:rsidR="00713371">
        <w:t xml:space="preserve"> and unit variance.</w:t>
      </w:r>
    </w:p>
    <w:p w:rsidR="0087534F" w:rsidRDefault="00CB1638">
      <w:pPr>
        <w:ind w:firstLine="270"/>
      </w:pPr>
      <w:r w:rsidRPr="00CB1638">
        <w:t xml:space="preserve">For each class, </w:t>
      </w:r>
      <w:r w:rsidR="00713371">
        <w:t xml:space="preserve">the </w:t>
      </w:r>
      <w:r w:rsidRPr="00CB1638">
        <w:t>training data</w:t>
      </w:r>
      <w:r w:rsidR="00713371">
        <w:t xml:space="preserve"> consisted of a sequence of </w:t>
      </w:r>
      <w:r>
        <w:t>10,000</w:t>
      </w:r>
      <w:r w:rsidR="00713371">
        <w:t xml:space="preserve"> vectors, </w:t>
      </w:r>
      <w:r w:rsidRPr="00CB1638">
        <w:t xml:space="preserve">and </w:t>
      </w:r>
      <w:r w:rsidR="00713371">
        <w:t xml:space="preserve">evaluation </w:t>
      </w:r>
      <w:r w:rsidRPr="00CB1638">
        <w:t>data</w:t>
      </w:r>
      <w:r w:rsidR="00713371">
        <w:t xml:space="preserve"> consisted of </w:t>
      </w:r>
      <w:r w:rsidRPr="00CB1638">
        <w:t>100 segments of 200 feature vectors each (</w:t>
      </w:r>
      <w:r w:rsidR="00713371">
        <w:t xml:space="preserve">the </w:t>
      </w:r>
      <w:r w:rsidRPr="00CB1638">
        <w:t xml:space="preserve">log-likelihood of the </w:t>
      </w:r>
      <w:r w:rsidR="00713371">
        <w:t xml:space="preserve">entire </w:t>
      </w:r>
      <w:r w:rsidRPr="00CB1638">
        <w:t>segment</w:t>
      </w:r>
      <w:r>
        <w:t xml:space="preserve"> </w:t>
      </w:r>
      <w:r w:rsidR="00713371">
        <w:t xml:space="preserve">was </w:t>
      </w:r>
      <w:r w:rsidRPr="00CB1638">
        <w:t xml:space="preserve">used </w:t>
      </w:r>
      <w:r w:rsidR="00713371">
        <w:t xml:space="preserve">to assign a </w:t>
      </w:r>
      <w:r w:rsidRPr="00CB1638">
        <w:t>segment to a class).</w:t>
      </w:r>
      <w:r>
        <w:t xml:space="preserve"> The classification error results are </w:t>
      </w:r>
      <w:r w:rsidR="00EC7FB7">
        <w:t xml:space="preserve">stated </w:t>
      </w:r>
      <w:r>
        <w:t>in Table 1.</w:t>
      </w:r>
      <w:r w:rsidRPr="00CB1638">
        <w:t xml:space="preserve"> Clearly, </w:t>
      </w:r>
      <w:r w:rsidR="00EC7FB7">
        <w:t xml:space="preserve">when using only static features, </w:t>
      </w:r>
      <w:proofErr w:type="spellStart"/>
      <w:r w:rsidRPr="00CB1638">
        <w:t>MixAR</w:t>
      </w:r>
      <w:proofErr w:type="spellEnd"/>
      <w:r w:rsidRPr="00CB1638">
        <w:t xml:space="preserve"> does much better </w:t>
      </w:r>
      <w:r w:rsidR="00EC7FB7">
        <w:t>t</w:t>
      </w:r>
      <w:r w:rsidRPr="00CB1638">
        <w:t>han GMM if</w:t>
      </w:r>
      <w:r>
        <w:t xml:space="preserve"> </w:t>
      </w:r>
      <w:r w:rsidRPr="00CB1638">
        <w:t xml:space="preserve">nonlinearities are present. </w:t>
      </w:r>
      <w:r w:rsidR="00713371">
        <w:t>The u</w:t>
      </w:r>
      <w:r w:rsidRPr="00CB1638">
        <w:t xml:space="preserve">se of dynamic features </w:t>
      </w:r>
      <w:r w:rsidR="00EC7FB7">
        <w:t>enhances</w:t>
      </w:r>
      <w:r w:rsidRPr="00CB1638">
        <w:t xml:space="preserve"> GMM </w:t>
      </w:r>
      <w:r w:rsidR="00EC7FB7">
        <w:t xml:space="preserve">performance </w:t>
      </w:r>
      <w:r w:rsidRPr="00CB1638">
        <w:t>considerably</w:t>
      </w:r>
      <w:r>
        <w:t xml:space="preserve"> </w:t>
      </w:r>
      <w:r w:rsidRPr="00CB1638">
        <w:t xml:space="preserve">but still falls far short of </w:t>
      </w:r>
      <w:proofErr w:type="spellStart"/>
      <w:r w:rsidRPr="00CB1638">
        <w:t>MixAR's</w:t>
      </w:r>
      <w:proofErr w:type="spellEnd"/>
      <w:r w:rsidRPr="00CB1638">
        <w:t xml:space="preserve"> performance.</w:t>
      </w:r>
    </w:p>
    <w:p w:rsidR="00552149" w:rsidRDefault="00D65C3B">
      <w:pPr>
        <w:pStyle w:val="Heading2"/>
      </w:pPr>
      <w:r>
        <w:t>Two</w:t>
      </w:r>
      <w:r w:rsidR="009F4FA8">
        <w:t>-</w:t>
      </w:r>
      <w:r>
        <w:t>w</w:t>
      </w:r>
      <w:r w:rsidR="009F4FA8">
        <w:t>ay</w:t>
      </w:r>
      <w:r>
        <w:t xml:space="preserve"> Classification with </w:t>
      </w:r>
      <w:r w:rsidR="0090443A">
        <w:t>Speech-like</w:t>
      </w:r>
      <w:r>
        <w:t xml:space="preserve"> </w:t>
      </w:r>
      <w:r w:rsidR="0090443A">
        <w:t>Data</w:t>
      </w:r>
    </w:p>
    <w:p w:rsidR="00DB2EC7" w:rsidRDefault="0090443A" w:rsidP="0087263A">
      <w:pPr>
        <w:spacing w:after="120"/>
      </w:pPr>
      <w:r>
        <w:t xml:space="preserve">In order to evaluate </w:t>
      </w:r>
      <w:r w:rsidR="00DB2EC7">
        <w:t xml:space="preserve">how well </w:t>
      </w:r>
      <w:proofErr w:type="spellStart"/>
      <w:r>
        <w:t>MixAR</w:t>
      </w:r>
      <w:proofErr w:type="spellEnd"/>
      <w:r>
        <w:t xml:space="preserve"> </w:t>
      </w:r>
      <w:r w:rsidR="00DB2EC7">
        <w:t xml:space="preserve">does as compared to </w:t>
      </w:r>
      <w:r>
        <w:t xml:space="preserve">GMM for speech-like signals, two </w:t>
      </w:r>
      <w:r w:rsidR="00DB2EC7">
        <w:t xml:space="preserve">speakers from </w:t>
      </w:r>
      <w:r w:rsidR="00713371">
        <w:t xml:space="preserve">the </w:t>
      </w:r>
      <w:r w:rsidR="006F6770">
        <w:t xml:space="preserve">2001 </w:t>
      </w:r>
      <w:r w:rsidR="00DB2EC7">
        <w:t xml:space="preserve">NIST </w:t>
      </w:r>
      <w:r w:rsidR="006F6770">
        <w:t>S</w:t>
      </w:r>
      <w:r w:rsidR="00B354F0">
        <w:t>RE</w:t>
      </w:r>
      <w:r w:rsidR="00713371">
        <w:t xml:space="preserve"> </w:t>
      </w:r>
      <w:r w:rsidR="006F6770">
        <w:t>Corpus</w:t>
      </w:r>
      <w:r w:rsidR="00713371">
        <w:t> </w:t>
      </w:r>
      <w:r w:rsidR="00D83D12">
        <w:fldChar w:fldCharType="begin"/>
      </w:r>
      <w:r w:rsidR="00B354F0">
        <w:instrText xml:space="preserve"> REF _Ref227683520 \r \h </w:instrText>
      </w:r>
      <w:r w:rsidR="00D83D12">
        <w:fldChar w:fldCharType="separate"/>
      </w:r>
      <w:r w:rsidR="00720C71">
        <w:t>[13]</w:t>
      </w:r>
      <w:r w:rsidR="00D83D12">
        <w:fldChar w:fldCharType="end"/>
      </w:r>
      <w:r w:rsidR="00713371">
        <w:t xml:space="preserve"> were selected. </w:t>
      </w:r>
      <w:r w:rsidR="00DB2EC7">
        <w:t xml:space="preserve">A 3-state HMM with 4 Gaussian mixtures per state and a </w:t>
      </w:r>
      <w:proofErr w:type="spellStart"/>
      <w:r w:rsidR="00DB2EC7">
        <w:t>MixAR</w:t>
      </w:r>
      <w:proofErr w:type="spellEnd"/>
      <w:r w:rsidR="00DB2EC7">
        <w:t xml:space="preserve"> model with 4 mixtures were trained over 12 static MFCC coefficients </w:t>
      </w:r>
      <w:r w:rsidR="00713371">
        <w:t xml:space="preserve">for </w:t>
      </w:r>
      <w:r w:rsidR="00DB2EC7">
        <w:t>each speaker. For each class (speaker), two speech-like signals of 40,000 vectors were generated</w:t>
      </w:r>
      <w:r w:rsidR="00713371">
        <w:t> – </w:t>
      </w:r>
      <w:r w:rsidR="00DB2EC7">
        <w:t>a linear speech-like signal (</w:t>
      </w:r>
      <w:r w:rsidR="00DB2EC7" w:rsidRPr="009D78C9">
        <w:rPr>
          <w:b/>
          <w:i/>
        </w:rPr>
        <w:t>X</w:t>
      </w:r>
      <w:r w:rsidR="009D78C9">
        <w:rPr>
          <w:b/>
          <w:i/>
          <w:vertAlign w:val="subscript"/>
        </w:rPr>
        <w:t>1</w:t>
      </w:r>
      <w:r w:rsidR="00DB2EC7">
        <w:t>) was synthesized from the HMM model, and a</w:t>
      </w:r>
      <w:r w:rsidR="00B9295F">
        <w:t xml:space="preserve"> </w:t>
      </w:r>
      <w:r w:rsidR="00DB2EC7">
        <w:t>nonlinear speech-like signal (</w:t>
      </w:r>
      <w:r w:rsidR="009D78C9" w:rsidRPr="009D78C9">
        <w:rPr>
          <w:b/>
          <w:i/>
        </w:rPr>
        <w:t>X</w:t>
      </w:r>
      <w:r w:rsidR="009D78C9" w:rsidRPr="009D78C9">
        <w:rPr>
          <w:b/>
          <w:i/>
          <w:vertAlign w:val="subscript"/>
        </w:rPr>
        <w:t>2</w:t>
      </w:r>
      <w:r w:rsidR="00DB2EC7">
        <w:t xml:space="preserve">) was generated from the </w:t>
      </w:r>
      <w:proofErr w:type="spellStart"/>
      <w:r w:rsidR="00DB2EC7">
        <w:t>MixAR</w:t>
      </w:r>
      <w:proofErr w:type="spellEnd"/>
      <w:r w:rsidR="00DB2EC7">
        <w:t xml:space="preserve"> model. To simulate a range of signals with varying degrees of nonlinearity, the two signals were mixed with a mixing coefficient alpha:</w:t>
      </w:r>
    </w:p>
    <w:tbl>
      <w:tblPr>
        <w:tblStyle w:val="TableGrid"/>
        <w:tblW w:w="4875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63"/>
        <w:gridCol w:w="3517"/>
        <w:gridCol w:w="715"/>
      </w:tblGrid>
      <w:tr w:rsidR="009D78C9" w:rsidTr="0087534F">
        <w:tc>
          <w:tcPr>
            <w:tcW w:w="293" w:type="pct"/>
            <w:vAlign w:val="center"/>
          </w:tcPr>
          <w:p w:rsidR="009D78C9" w:rsidRDefault="009D78C9" w:rsidP="0087534F"/>
        </w:tc>
        <w:tc>
          <w:tcPr>
            <w:tcW w:w="3912" w:type="pct"/>
            <w:tcMar>
              <w:left w:w="0" w:type="dxa"/>
              <w:right w:w="0" w:type="dxa"/>
            </w:tcMar>
            <w:vAlign w:val="center"/>
          </w:tcPr>
          <w:p w:rsidR="009D78C9" w:rsidRDefault="00F878CC" w:rsidP="0087534F">
            <w:r w:rsidRPr="009D78C9">
              <w:rPr>
                <w:position w:val="-10"/>
              </w:rPr>
              <w:object w:dxaOrig="1700" w:dyaOrig="279">
                <v:shape id="_x0000_i1040" type="#_x0000_t75" style="width:78.45pt;height:13.5pt" o:ole="">
                  <v:imagedata r:id="rId36" o:title=""/>
                </v:shape>
                <o:OLEObject Type="Embed" ProgID="Equation.3" ShapeID="_x0000_i1040" DrawAspect="Content" ObjectID="_1304690039" r:id="rId37"/>
              </w:object>
            </w:r>
          </w:p>
        </w:tc>
        <w:tc>
          <w:tcPr>
            <w:tcW w:w="795" w:type="pct"/>
            <w:tcMar>
              <w:left w:w="0" w:type="dxa"/>
              <w:right w:w="0" w:type="dxa"/>
            </w:tcMar>
            <w:vAlign w:val="center"/>
          </w:tcPr>
          <w:p w:rsidR="009D78C9" w:rsidRDefault="009D78C9" w:rsidP="0087534F">
            <w:pPr>
              <w:pStyle w:val="ListParagraph"/>
              <w:numPr>
                <w:ilvl w:val="0"/>
                <w:numId w:val="20"/>
              </w:numPr>
              <w:jc w:val="right"/>
            </w:pPr>
          </w:p>
        </w:tc>
      </w:tr>
    </w:tbl>
    <w:p w:rsidR="00713371" w:rsidRDefault="00DB2EC7" w:rsidP="009D78C9">
      <w:pPr>
        <w:pStyle w:val="ISIPparagraph"/>
        <w:ind w:firstLine="0"/>
      </w:pPr>
      <w:r>
        <w:t xml:space="preserve">The first 20,000 vectors </w:t>
      </w:r>
      <w:r w:rsidR="009D78C9">
        <w:t xml:space="preserve">from each </w:t>
      </w:r>
      <w:proofErr w:type="spellStart"/>
      <w:r w:rsidR="009D78C9" w:rsidRPr="009D78C9">
        <w:rPr>
          <w:b/>
          <w:i/>
        </w:rPr>
        <w:t>X</w:t>
      </w:r>
      <w:r w:rsidR="009D78C9" w:rsidRPr="009D78C9">
        <w:rPr>
          <w:b/>
          <w:i/>
          <w:sz w:val="24"/>
          <w:szCs w:val="24"/>
          <w:vertAlign w:val="subscript"/>
        </w:rPr>
        <w:t>α</w:t>
      </w:r>
      <w:proofErr w:type="spellEnd"/>
      <w:r w:rsidR="001F0D8A">
        <w:t xml:space="preserve"> </w:t>
      </w:r>
      <w:r>
        <w:t xml:space="preserve">were used </w:t>
      </w:r>
      <w:r w:rsidR="00713371">
        <w:t xml:space="preserve">as a </w:t>
      </w:r>
      <w:r>
        <w:t>training set while the remaining vectors were split into 200 segments of 100 vectors each for</w:t>
      </w:r>
      <w:r w:rsidR="00713371">
        <w:t xml:space="preserve"> evaluation</w:t>
      </w:r>
      <w:r>
        <w:t>.</w:t>
      </w:r>
      <w:r w:rsidR="00713371">
        <w:t xml:space="preserve"> </w:t>
      </w:r>
      <w:r w:rsidR="001F0D8A">
        <w:t>The results are</w:t>
      </w:r>
      <w:r w:rsidR="00713371">
        <w:t xml:space="preserve"> shown </w:t>
      </w:r>
      <w:r w:rsidR="001F0D8A">
        <w:t>in Table 2.</w:t>
      </w:r>
    </w:p>
    <w:p w:rsidR="0087534F" w:rsidRDefault="001F0D8A">
      <w:pPr>
        <w:ind w:firstLine="270"/>
      </w:pPr>
      <w:r w:rsidRPr="001F0D8A">
        <w:t xml:space="preserve">From the table we can see that when the amount of nonlinearity is </w:t>
      </w:r>
      <w:r w:rsidR="009D78C9">
        <w:t>in</w:t>
      </w:r>
      <w:r w:rsidRPr="001F0D8A">
        <w:t xml:space="preserve">significant, GMM performs as well as </w:t>
      </w:r>
      <w:proofErr w:type="spellStart"/>
      <w:r w:rsidRPr="001F0D8A">
        <w:t>MixAR</w:t>
      </w:r>
      <w:proofErr w:type="spellEnd"/>
      <w:r w:rsidRPr="001F0D8A">
        <w:t xml:space="preserve">. </w:t>
      </w:r>
      <w:r>
        <w:t xml:space="preserve">However, </w:t>
      </w:r>
      <w:r w:rsidRPr="001F0D8A">
        <w:t xml:space="preserve">as the amount of nonlinearity in the signal increases, </w:t>
      </w:r>
      <w:proofErr w:type="spellStart"/>
      <w:r w:rsidRPr="001F0D8A">
        <w:t>MixAR</w:t>
      </w:r>
      <w:proofErr w:type="spellEnd"/>
      <w:r w:rsidRPr="001F0D8A">
        <w:t xml:space="preserve"> performs significantly better with just static features as compared to GMM with static+</w:t>
      </w:r>
      <w:r w:rsidR="009D78C9" w:rsidRPr="00BE41CF">
        <w:t>∆</w:t>
      </w:r>
      <w:r w:rsidRPr="001F0D8A">
        <w:t xml:space="preserve"> features. This clearly demonstrates the superiority of </w:t>
      </w:r>
      <w:proofErr w:type="spellStart"/>
      <w:r w:rsidRPr="001F0D8A">
        <w:t>MixAR</w:t>
      </w:r>
      <w:proofErr w:type="spellEnd"/>
      <w:r w:rsidRPr="001F0D8A">
        <w:t xml:space="preserve"> </w:t>
      </w:r>
      <w:r>
        <w:t>when dynamics in the data are nonlinear.</w:t>
      </w:r>
    </w:p>
    <w:p w:rsidR="00736357" w:rsidRDefault="00163DFC">
      <w:pPr>
        <w:pStyle w:val="Heading1"/>
      </w:pPr>
      <w:bookmarkStart w:id="6" w:name="_Ref195515589"/>
      <w:r>
        <w:t>Speaker Verification Experiments</w:t>
      </w:r>
    </w:p>
    <w:bookmarkEnd w:id="6"/>
    <w:p w:rsidR="0087534F" w:rsidRDefault="008B18BF">
      <w:r>
        <w:t xml:space="preserve">Next we applied the </w:t>
      </w:r>
      <w:proofErr w:type="spellStart"/>
      <w:r w:rsidR="0087263A">
        <w:t>M</w:t>
      </w:r>
      <w:r w:rsidR="00675423">
        <w:t>ixAR</w:t>
      </w:r>
      <w:proofErr w:type="spellEnd"/>
      <w:r w:rsidR="00675423">
        <w:t xml:space="preserve"> </w:t>
      </w:r>
      <w:r>
        <w:t xml:space="preserve">model to the </w:t>
      </w:r>
      <w:r w:rsidR="007236FA">
        <w:t>1-speaker det</w:t>
      </w:r>
      <w:r>
        <w:t xml:space="preserve">ection </w:t>
      </w:r>
      <w:r w:rsidR="007236FA">
        <w:t xml:space="preserve">task </w:t>
      </w:r>
      <w:r>
        <w:t xml:space="preserve">in the </w:t>
      </w:r>
      <w:r w:rsidR="00227D07">
        <w:t xml:space="preserve">2001 </w:t>
      </w:r>
      <w:r w:rsidR="00675423">
        <w:t xml:space="preserve">NIST </w:t>
      </w:r>
      <w:r w:rsidR="00C57BEF">
        <w:t>S</w:t>
      </w:r>
      <w:r w:rsidR="00B354F0">
        <w:t>RE</w:t>
      </w:r>
      <w:r w:rsidR="00227D07">
        <w:t xml:space="preserve"> </w:t>
      </w:r>
      <w:r w:rsidR="00C57BEF">
        <w:t>C</w:t>
      </w:r>
      <w:r w:rsidR="00227D07">
        <w:t>orpus</w:t>
      </w:r>
      <w:r w:rsidR="008E7E6D">
        <w:t> </w:t>
      </w:r>
      <w:r w:rsidR="00D83D12">
        <w:fldChar w:fldCharType="begin"/>
      </w:r>
      <w:r w:rsidR="007065D1">
        <w:instrText xml:space="preserve"> REF _Ref227683520 \r \h </w:instrText>
      </w:r>
      <w:r w:rsidR="00D83D12">
        <w:fldChar w:fldCharType="separate"/>
      </w:r>
      <w:r w:rsidR="00720C71">
        <w:t>[13]</w:t>
      </w:r>
      <w:r w:rsidR="00D83D12">
        <w:fldChar w:fldCharType="end"/>
      </w:r>
      <w:r w:rsidR="00227D07">
        <w:t>.</w:t>
      </w:r>
      <w:r w:rsidR="00675423">
        <w:t xml:space="preserve"> </w:t>
      </w:r>
      <w:r w:rsidR="008E7E6D">
        <w:t>O</w:t>
      </w:r>
      <w:r w:rsidR="00675423">
        <w:t xml:space="preserve">nly </w:t>
      </w:r>
      <w:r w:rsidR="007236FA">
        <w:t xml:space="preserve">the </w:t>
      </w:r>
      <w:r w:rsidR="00675423">
        <w:t>development database was used. All 60 speakers were used for training and al</w:t>
      </w:r>
      <w:r w:rsidR="007236FA">
        <w:t>l</w:t>
      </w:r>
      <w:r w:rsidR="00675423">
        <w:t xml:space="preserve"> 78 utterances were used for evaluation.</w:t>
      </w:r>
      <w:r w:rsidR="00227D07">
        <w:t xml:space="preserve"> Each training utterance was about 2 minutes long, while the test utterances were of varying length not exceeding 60 seconds. </w:t>
      </w:r>
      <w:r w:rsidR="009713A8">
        <w:t>S</w:t>
      </w:r>
      <w:r w:rsidR="0087263A">
        <w:t>tatic</w:t>
      </w:r>
      <w:r w:rsidR="009713A8">
        <w:t xml:space="preserve"> (13 MFCCs), delta (26 MFCCs) and delta-delta (39 MFCCs) features </w:t>
      </w:r>
      <w:r w:rsidR="0087263A">
        <w:t>w</w:t>
      </w:r>
      <w:r w:rsidR="009713A8">
        <w:t xml:space="preserve">ere </w:t>
      </w:r>
      <w:r w:rsidR="0087263A">
        <w:t>extracted</w:t>
      </w:r>
      <w:r w:rsidR="009713A8">
        <w:t>.</w:t>
      </w:r>
    </w:p>
    <w:p w:rsidR="0087534F" w:rsidRDefault="00D83D12">
      <w:pPr>
        <w:ind w:firstLine="270"/>
      </w:pPr>
      <w:r>
        <w:rPr>
          <w:noProof/>
        </w:rPr>
        <w:pict>
          <v:shape id="_x0000_s2029" type="#_x0000_t202" style="position:absolute;left:0;text-align:left;margin-left:0;margin-top:0;width:223.75pt;height:114.2pt;z-index:251664384;mso-wrap-distance-left:0;mso-wrap-distance-top:7.2pt;mso-wrap-distance-right:0;mso-position-horizontal:left;mso-position-horizontal-relative:margin;mso-position-vertical:bottom;mso-position-vertical-relative:margin;mso-width-relative:margin;mso-height-relative:margin" o:allowoverlap="f" stroked="f">
            <v:textbox style="mso-next-textbox:#_x0000_s2029" inset="0,7.2pt,0,7.2pt">
              <w:txbxContent>
                <w:p w:rsidR="0087534F" w:rsidRPr="00237710" w:rsidRDefault="0087534F" w:rsidP="004E298F">
                  <w:pPr>
                    <w:pStyle w:val="Caption"/>
                    <w:spacing w:before="0" w:after="120"/>
                    <w:ind w:left="288" w:right="288"/>
                    <w:jc w:val="left"/>
                    <w:rPr>
                      <w:i/>
                    </w:rPr>
                  </w:pPr>
                  <w:bookmarkStart w:id="7" w:name="_Ref195891624"/>
                  <w:r>
                    <w:t>Table</w:t>
                  </w:r>
                  <w:bookmarkEnd w:id="7"/>
                  <w:r>
                    <w:t xml:space="preserve"> 1: </w:t>
                  </w:r>
                  <w:r w:rsidRPr="00237710">
                    <w:rPr>
                      <w:i/>
                    </w:rPr>
                    <w:t xml:space="preserve">Classification (% </w:t>
                  </w:r>
                  <w:r>
                    <w:rPr>
                      <w:i/>
                    </w:rPr>
                    <w:t>error</w:t>
                  </w:r>
                  <w:r w:rsidRPr="00237710">
                    <w:rPr>
                      <w:i/>
                    </w:rPr>
                    <w:t xml:space="preserve">) results for </w:t>
                  </w:r>
                  <w:r w:rsidR="002E2D23">
                    <w:rPr>
                      <w:i/>
                    </w:rPr>
                    <w:t xml:space="preserve">synthetic data </w:t>
                  </w:r>
                  <w:r w:rsidRPr="00762A86">
                    <w:rPr>
                      <w:i/>
                    </w:rPr>
                    <w:t>(the numbers of parameters are shown in parentheses)</w:t>
                  </w:r>
                  <w:r>
                    <w:rPr>
                      <w:i/>
                    </w:rPr>
                    <w:t>.</w:t>
                  </w:r>
                </w:p>
                <w:tbl>
                  <w:tblPr>
                    <w:tblW w:w="4420" w:type="dxa"/>
                    <w:jc w:val="center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58" w:type="dxa"/>
                      <w:right w:w="58" w:type="dxa"/>
                    </w:tblCellMar>
                    <w:tblLook w:val="04A0"/>
                  </w:tblPr>
                  <w:tblGrid>
                    <w:gridCol w:w="884"/>
                    <w:gridCol w:w="884"/>
                    <w:gridCol w:w="884"/>
                    <w:gridCol w:w="884"/>
                    <w:gridCol w:w="884"/>
                  </w:tblGrid>
                  <w:tr w:rsidR="0087534F" w:rsidRPr="00BE41CF" w:rsidTr="00121D25">
                    <w:trPr>
                      <w:jc w:val="center"/>
                    </w:trPr>
                    <w:tc>
                      <w:tcPr>
                        <w:tcW w:w="884" w:type="dxa"/>
                        <w:tcMar>
                          <w:left w:w="43" w:type="dxa"/>
                          <w:right w:w="43" w:type="dxa"/>
                        </w:tcMar>
                      </w:tcPr>
                      <w:p w:rsidR="00181490" w:rsidRDefault="0087534F">
                        <w:pPr>
                          <w:pStyle w:val="IESParagraph"/>
                          <w:ind w:firstLine="0"/>
                          <w:jc w:val="center"/>
                          <w:rPr>
                            <w:szCs w:val="18"/>
                          </w:rPr>
                        </w:pPr>
                        <w:r w:rsidRPr="00430071">
                          <w:rPr>
                            <w:szCs w:val="18"/>
                          </w:rPr>
                          <w:t xml:space="preserve"># </w:t>
                        </w:r>
                        <w:proofErr w:type="gramStart"/>
                        <w:r w:rsidRPr="00430071">
                          <w:rPr>
                            <w:szCs w:val="18"/>
                          </w:rPr>
                          <w:t>mix</w:t>
                        </w:r>
                        <w:proofErr w:type="gramEnd"/>
                        <w:r w:rsidRPr="00430071">
                          <w:rPr>
                            <w:szCs w:val="18"/>
                          </w:rPr>
                          <w:t>.</w:t>
                        </w:r>
                      </w:p>
                    </w:tc>
                    <w:tc>
                      <w:tcPr>
                        <w:tcW w:w="884" w:type="dxa"/>
                      </w:tcPr>
                      <w:p w:rsidR="00181490" w:rsidRDefault="00D20300">
                        <w:pPr>
                          <w:pStyle w:val="IESParagraph"/>
                          <w:ind w:firstLine="0"/>
                          <w:jc w:val="center"/>
                          <w:rPr>
                            <w:szCs w:val="18"/>
                          </w:rPr>
                        </w:pPr>
                        <w:r w:rsidRPr="00D20300">
                          <w:t>GMM</w:t>
                        </w:r>
                        <w:r w:rsidRPr="00D20300">
                          <w:br/>
                          <w:t>Static</w:t>
                        </w:r>
                      </w:p>
                    </w:tc>
                    <w:tc>
                      <w:tcPr>
                        <w:tcW w:w="884" w:type="dxa"/>
                      </w:tcPr>
                      <w:p w:rsidR="00181490" w:rsidRDefault="002E2D23">
                        <w:pPr>
                          <w:pStyle w:val="IESParagraph"/>
                          <w:ind w:firstLine="0"/>
                          <w:jc w:val="center"/>
                          <w:rPr>
                            <w:szCs w:val="18"/>
                          </w:rPr>
                        </w:pPr>
                        <w:proofErr w:type="spellStart"/>
                        <w:r>
                          <w:t>MixAR</w:t>
                        </w:r>
                        <w:proofErr w:type="spellEnd"/>
                        <w:r w:rsidRPr="002E2D23">
                          <w:br/>
                          <w:t>Static</w:t>
                        </w:r>
                      </w:p>
                    </w:tc>
                    <w:tc>
                      <w:tcPr>
                        <w:tcW w:w="884" w:type="dxa"/>
                      </w:tcPr>
                      <w:p w:rsidR="00181490" w:rsidRDefault="002E2D23">
                        <w:pPr>
                          <w:pStyle w:val="IESParagraph"/>
                          <w:ind w:firstLine="0"/>
                          <w:jc w:val="center"/>
                          <w:rPr>
                            <w:szCs w:val="18"/>
                          </w:rPr>
                        </w:pPr>
                        <w:r w:rsidRPr="002E2D23">
                          <w:t xml:space="preserve"> GMM</w:t>
                        </w:r>
                        <w:r w:rsidRPr="002E2D23">
                          <w:br/>
                          <w:t>Static</w:t>
                        </w:r>
                        <w:r>
                          <w:t>+</w:t>
                        </w:r>
                        <w:r w:rsidRPr="00430071">
                          <w:rPr>
                            <w:szCs w:val="18"/>
                          </w:rPr>
                          <w:t>∆</w:t>
                        </w:r>
                      </w:p>
                    </w:tc>
                    <w:tc>
                      <w:tcPr>
                        <w:tcW w:w="884" w:type="dxa"/>
                      </w:tcPr>
                      <w:p w:rsidR="00181490" w:rsidRDefault="002E2D23">
                        <w:pPr>
                          <w:pStyle w:val="IESParagraph"/>
                          <w:ind w:firstLine="0"/>
                          <w:jc w:val="center"/>
                          <w:rPr>
                            <w:szCs w:val="18"/>
                          </w:rPr>
                        </w:pPr>
                        <w:proofErr w:type="spellStart"/>
                        <w:r>
                          <w:t>MixAR</w:t>
                        </w:r>
                        <w:proofErr w:type="spellEnd"/>
                        <w:r w:rsidRPr="002E2D23">
                          <w:br/>
                          <w:t>Static</w:t>
                        </w:r>
                        <w:r>
                          <w:t>+</w:t>
                        </w:r>
                        <w:r w:rsidRPr="00430071">
                          <w:rPr>
                            <w:szCs w:val="18"/>
                          </w:rPr>
                          <w:t>∆</w:t>
                        </w:r>
                      </w:p>
                    </w:tc>
                  </w:tr>
                  <w:tr w:rsidR="0087534F" w:rsidRPr="00BE41CF" w:rsidTr="00121D25">
                    <w:trPr>
                      <w:trHeight w:val="239"/>
                      <w:jc w:val="center"/>
                    </w:trPr>
                    <w:tc>
                      <w:tcPr>
                        <w:tcW w:w="884" w:type="dxa"/>
                        <w:noWrap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:rsidR="00830882" w:rsidRDefault="00121D25">
                        <w:pPr>
                          <w:pStyle w:val="IESParagraph"/>
                          <w:spacing w:before="0"/>
                          <w:ind w:firstLine="0"/>
                          <w:jc w:val="center"/>
                          <w:rPr>
                            <w:szCs w:val="18"/>
                          </w:rPr>
                        </w:pPr>
                        <w:r>
                          <w:rPr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884" w:type="dxa"/>
                        <w:noWrap/>
                        <w:vAlign w:val="center"/>
                      </w:tcPr>
                      <w:p w:rsidR="00181490" w:rsidRDefault="0087534F" w:rsidP="00121D25">
                        <w:pPr>
                          <w:pStyle w:val="TableContents"/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430071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36.0(12)</w:t>
                        </w:r>
                      </w:p>
                    </w:tc>
                    <w:tc>
                      <w:tcPr>
                        <w:tcW w:w="884" w:type="dxa"/>
                        <w:noWrap/>
                        <w:vAlign w:val="center"/>
                      </w:tcPr>
                      <w:p w:rsidR="00181490" w:rsidRDefault="0087534F" w:rsidP="00121D25">
                        <w:pPr>
                          <w:pStyle w:val="TableContents"/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430071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6.5(20)</w:t>
                        </w:r>
                      </w:p>
                    </w:tc>
                    <w:tc>
                      <w:tcPr>
                        <w:tcW w:w="884" w:type="dxa"/>
                        <w:noWrap/>
                        <w:vAlign w:val="center"/>
                      </w:tcPr>
                      <w:p w:rsidR="00181490" w:rsidRDefault="0087534F" w:rsidP="00121D25">
                        <w:pPr>
                          <w:pStyle w:val="TableContents"/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430071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10.0(24)</w:t>
                        </w:r>
                      </w:p>
                    </w:tc>
                    <w:tc>
                      <w:tcPr>
                        <w:tcW w:w="884" w:type="dxa"/>
                        <w:noWrap/>
                        <w:vAlign w:val="center"/>
                      </w:tcPr>
                      <w:p w:rsidR="00181490" w:rsidRDefault="0087534F" w:rsidP="00121D25">
                        <w:pPr>
                          <w:pStyle w:val="TableContents"/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5.5(40)</w:t>
                        </w:r>
                      </w:p>
                    </w:tc>
                  </w:tr>
                  <w:tr w:rsidR="0087534F" w:rsidRPr="00BE41CF" w:rsidTr="00121D25">
                    <w:trPr>
                      <w:trHeight w:val="167"/>
                      <w:jc w:val="center"/>
                    </w:trPr>
                    <w:tc>
                      <w:tcPr>
                        <w:tcW w:w="884" w:type="dxa"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:rsidR="00830882" w:rsidRDefault="00F167CF">
                        <w:pPr>
                          <w:pStyle w:val="IESParagraph"/>
                          <w:spacing w:before="0"/>
                          <w:ind w:firstLine="0"/>
                          <w:jc w:val="center"/>
                          <w:rPr>
                            <w:szCs w:val="18"/>
                          </w:rPr>
                        </w:pPr>
                        <w:r>
                          <w:rPr>
                            <w:szCs w:val="18"/>
                          </w:rPr>
                          <w:t>4</w:t>
                        </w:r>
                      </w:p>
                    </w:tc>
                    <w:tc>
                      <w:tcPr>
                        <w:tcW w:w="884" w:type="dxa"/>
                        <w:vAlign w:val="center"/>
                      </w:tcPr>
                      <w:p w:rsidR="00181490" w:rsidRDefault="0087534F">
                        <w:pPr>
                          <w:pStyle w:val="TableContents"/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430071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35.5(24)</w:t>
                        </w:r>
                      </w:p>
                    </w:tc>
                    <w:tc>
                      <w:tcPr>
                        <w:tcW w:w="884" w:type="dxa"/>
                        <w:vAlign w:val="center"/>
                      </w:tcPr>
                      <w:p w:rsidR="00181490" w:rsidRDefault="0087534F">
                        <w:pPr>
                          <w:pStyle w:val="TableContents"/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430071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6.0(40)</w:t>
                        </w:r>
                      </w:p>
                    </w:tc>
                    <w:tc>
                      <w:tcPr>
                        <w:tcW w:w="884" w:type="dxa"/>
                        <w:vAlign w:val="center"/>
                      </w:tcPr>
                      <w:p w:rsidR="00181490" w:rsidRDefault="0087534F">
                        <w:pPr>
                          <w:pStyle w:val="TableContents"/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430071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11.5(48)</w:t>
                        </w:r>
                      </w:p>
                    </w:tc>
                    <w:tc>
                      <w:tcPr>
                        <w:tcW w:w="884" w:type="dxa"/>
                        <w:vAlign w:val="center"/>
                      </w:tcPr>
                      <w:p w:rsidR="00181490" w:rsidRDefault="0087534F">
                        <w:pPr>
                          <w:pStyle w:val="TableContents"/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4.5(80)</w:t>
                        </w:r>
                      </w:p>
                    </w:tc>
                  </w:tr>
                </w:tbl>
                <w:p w:rsidR="0087534F" w:rsidRDefault="0087534F" w:rsidP="005B1C8B">
                  <w:pPr>
                    <w:pStyle w:val="IESParagraph"/>
                  </w:pPr>
                </w:p>
              </w:txbxContent>
            </v:textbox>
            <w10:wrap type="square" anchorx="margin" anchory="margin"/>
          </v:shape>
        </w:pict>
      </w:r>
      <w:r>
        <w:rPr>
          <w:noProof/>
        </w:rPr>
        <w:pict>
          <v:shape id="_x0000_s2033" type="#_x0000_t202" style="position:absolute;left:0;text-align:left;margin-left:2030.05pt;margin-top:0;width:224.55pt;height:114.2pt;z-index:251665408;mso-wrap-distance-bottom:7.2pt;mso-position-horizontal:right;mso-position-horizontal-relative:margin;mso-position-vertical:bottom;mso-position-vertical-relative:margin;mso-width-relative:margin;mso-height-relative:margin" o:allowoverlap="f" stroked="f">
            <v:textbox style="mso-next-textbox:#_x0000_s2033" inset="0,7.2pt,0,7.2pt">
              <w:txbxContent>
                <w:p w:rsidR="0087534F" w:rsidRPr="00773CC9" w:rsidRDefault="0087534F" w:rsidP="003E1ACB">
                  <w:pPr>
                    <w:pStyle w:val="Caption"/>
                    <w:spacing w:before="0" w:after="120"/>
                    <w:ind w:left="288" w:right="288"/>
                    <w:jc w:val="left"/>
                    <w:rPr>
                      <w:i/>
                    </w:rPr>
                  </w:pPr>
                  <w:proofErr w:type="gramStart"/>
                  <w:r>
                    <w:t xml:space="preserve">Table 3: </w:t>
                  </w:r>
                  <w:r w:rsidRPr="00773CC9">
                    <w:rPr>
                      <w:i/>
                    </w:rPr>
                    <w:t xml:space="preserve">Speaker </w:t>
                  </w:r>
                  <w:r w:rsidR="00865FED">
                    <w:rPr>
                      <w:i/>
                    </w:rPr>
                    <w:t xml:space="preserve">recognition </w:t>
                  </w:r>
                  <w:r w:rsidRPr="00773CC9">
                    <w:rPr>
                      <w:i/>
                    </w:rPr>
                    <w:t xml:space="preserve">EER </w:t>
                  </w:r>
                  <w:r>
                    <w:rPr>
                      <w:i/>
                    </w:rPr>
                    <w:t xml:space="preserve">with NIST </w:t>
                  </w:r>
                  <w:r w:rsidRPr="00773CC9">
                    <w:rPr>
                      <w:i/>
                    </w:rPr>
                    <w:t>for different feature combinations (number of features in par</w:t>
                  </w:r>
                  <w:r>
                    <w:rPr>
                      <w:i/>
                    </w:rPr>
                    <w:t>enthesi</w:t>
                  </w:r>
                  <w:r w:rsidRPr="00773CC9">
                    <w:rPr>
                      <w:i/>
                    </w:rPr>
                    <w:t>s)</w:t>
                  </w:r>
                  <w:r>
                    <w:rPr>
                      <w:i/>
                    </w:rPr>
                    <w:t>.</w:t>
                  </w:r>
                  <w:proofErr w:type="gramEnd"/>
                </w:p>
                <w:tbl>
                  <w:tblPr>
                    <w:tblW w:w="4455" w:type="dxa"/>
                    <w:jc w:val="center"/>
                    <w:tblInd w:w="-50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4A0"/>
                  </w:tblPr>
                  <w:tblGrid>
                    <w:gridCol w:w="1520"/>
                    <w:gridCol w:w="1430"/>
                    <w:gridCol w:w="1505"/>
                  </w:tblGrid>
                  <w:tr w:rsidR="0087534F" w:rsidTr="00CC0CF7">
                    <w:trPr>
                      <w:trHeight w:val="315"/>
                      <w:jc w:val="center"/>
                    </w:trPr>
                    <w:tc>
                      <w:tcPr>
                        <w:tcW w:w="1520" w:type="dxa"/>
                        <w:tcMar>
                          <w:left w:w="43" w:type="dxa"/>
                          <w:right w:w="43" w:type="dxa"/>
                        </w:tcMar>
                      </w:tcPr>
                      <w:p w:rsidR="0087534F" w:rsidRDefault="0087534F" w:rsidP="00B569B8">
                        <w:pPr>
                          <w:pStyle w:val="IESParagraph"/>
                          <w:jc w:val="center"/>
                        </w:pPr>
                        <w:r w:rsidRPr="00A15600">
                          <w:t>Features</w:t>
                        </w:r>
                      </w:p>
                    </w:tc>
                    <w:tc>
                      <w:tcPr>
                        <w:tcW w:w="1430" w:type="dxa"/>
                      </w:tcPr>
                      <w:p w:rsidR="0087534F" w:rsidRDefault="0087534F" w:rsidP="00B569B8">
                        <w:pPr>
                          <w:pStyle w:val="IESParagraph"/>
                          <w:ind w:firstLine="0"/>
                          <w:jc w:val="center"/>
                        </w:pPr>
                        <w:r w:rsidRPr="00A15600">
                          <w:t>GMM</w:t>
                        </w:r>
                        <w:r>
                          <w:t>-16-mix.</w:t>
                        </w:r>
                      </w:p>
                    </w:tc>
                    <w:tc>
                      <w:tcPr>
                        <w:tcW w:w="1505" w:type="dxa"/>
                      </w:tcPr>
                      <w:p w:rsidR="0087534F" w:rsidRDefault="0087534F" w:rsidP="00B569B8">
                        <w:pPr>
                          <w:pStyle w:val="IESParagraph"/>
                          <w:ind w:firstLine="0"/>
                          <w:jc w:val="center"/>
                        </w:pPr>
                        <w:r w:rsidRPr="00A15600">
                          <w:t>M</w:t>
                        </w:r>
                        <w:r>
                          <w:t>ixAR-8-mix.</w:t>
                        </w:r>
                      </w:p>
                    </w:tc>
                  </w:tr>
                  <w:tr w:rsidR="0087534F" w:rsidTr="00CC0CF7">
                    <w:trPr>
                      <w:jc w:val="center"/>
                    </w:trPr>
                    <w:tc>
                      <w:tcPr>
                        <w:tcW w:w="1520" w:type="dxa"/>
                        <w:tcMar>
                          <w:left w:w="43" w:type="dxa"/>
                          <w:right w:w="43" w:type="dxa"/>
                        </w:tcMar>
                      </w:tcPr>
                      <w:p w:rsidR="0087534F" w:rsidRPr="00A15600" w:rsidRDefault="0087534F" w:rsidP="00A15600">
                        <w:pPr>
                          <w:pStyle w:val="TableContents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A15600">
                          <w:rPr>
                            <w:sz w:val="18"/>
                            <w:szCs w:val="18"/>
                          </w:rPr>
                          <w:t>Static(12)</w:t>
                        </w:r>
                      </w:p>
                    </w:tc>
                    <w:tc>
                      <w:tcPr>
                        <w:tcW w:w="1430" w:type="dxa"/>
                      </w:tcPr>
                      <w:p w:rsidR="0087534F" w:rsidRPr="00A15600" w:rsidRDefault="0087534F" w:rsidP="003112A5">
                        <w:pPr>
                          <w:pStyle w:val="TableContents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A15600">
                          <w:rPr>
                            <w:sz w:val="18"/>
                            <w:szCs w:val="18"/>
                          </w:rPr>
                          <w:t>22.1</w:t>
                        </w:r>
                      </w:p>
                    </w:tc>
                    <w:tc>
                      <w:tcPr>
                        <w:tcW w:w="1505" w:type="dxa"/>
                      </w:tcPr>
                      <w:p w:rsidR="0087534F" w:rsidRPr="00A15600" w:rsidRDefault="0087534F" w:rsidP="003112A5">
                        <w:pPr>
                          <w:pStyle w:val="TableContents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A15600">
                          <w:rPr>
                            <w:sz w:val="18"/>
                            <w:szCs w:val="18"/>
                          </w:rPr>
                          <w:t>19.1</w:t>
                        </w:r>
                      </w:p>
                    </w:tc>
                  </w:tr>
                  <w:tr w:rsidR="0087534F" w:rsidTr="00CC0CF7">
                    <w:trPr>
                      <w:jc w:val="center"/>
                    </w:trPr>
                    <w:tc>
                      <w:tcPr>
                        <w:tcW w:w="1520" w:type="dxa"/>
                        <w:tcMar>
                          <w:left w:w="43" w:type="dxa"/>
                          <w:right w:w="43" w:type="dxa"/>
                        </w:tcMar>
                      </w:tcPr>
                      <w:p w:rsidR="0087534F" w:rsidRPr="00A15600" w:rsidRDefault="0087534F" w:rsidP="00A15600">
                        <w:pPr>
                          <w:pStyle w:val="TableContents"/>
                          <w:jc w:val="center"/>
                          <w:rPr>
                            <w:sz w:val="18"/>
                            <w:szCs w:val="18"/>
                          </w:rPr>
                        </w:pPr>
                        <w:proofErr w:type="spellStart"/>
                        <w:r w:rsidRPr="00A15600">
                          <w:rPr>
                            <w:sz w:val="18"/>
                            <w:szCs w:val="18"/>
                          </w:rPr>
                          <w:t>Static+E</w:t>
                        </w:r>
                        <w:proofErr w:type="spellEnd"/>
                        <w:r w:rsidRPr="00A15600">
                          <w:rPr>
                            <w:sz w:val="18"/>
                            <w:szCs w:val="18"/>
                          </w:rPr>
                          <w:t>(13)</w:t>
                        </w:r>
                      </w:p>
                    </w:tc>
                    <w:tc>
                      <w:tcPr>
                        <w:tcW w:w="1430" w:type="dxa"/>
                      </w:tcPr>
                      <w:p w:rsidR="0087534F" w:rsidRPr="00A15600" w:rsidRDefault="0087534F" w:rsidP="003112A5">
                        <w:pPr>
                          <w:pStyle w:val="TableContents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A15600">
                          <w:rPr>
                            <w:sz w:val="18"/>
                            <w:szCs w:val="18"/>
                          </w:rPr>
                          <w:t>33.1</w:t>
                        </w:r>
                      </w:p>
                    </w:tc>
                    <w:tc>
                      <w:tcPr>
                        <w:tcW w:w="1505" w:type="dxa"/>
                      </w:tcPr>
                      <w:p w:rsidR="0087534F" w:rsidRPr="00A15600" w:rsidRDefault="0087534F" w:rsidP="003112A5">
                        <w:pPr>
                          <w:pStyle w:val="TableContents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A15600">
                          <w:rPr>
                            <w:sz w:val="18"/>
                            <w:szCs w:val="18"/>
                          </w:rPr>
                          <w:t>41.1</w:t>
                        </w:r>
                      </w:p>
                    </w:tc>
                  </w:tr>
                  <w:tr w:rsidR="0087534F" w:rsidTr="00CC0CF7">
                    <w:trPr>
                      <w:jc w:val="center"/>
                    </w:trPr>
                    <w:tc>
                      <w:tcPr>
                        <w:tcW w:w="1520" w:type="dxa"/>
                        <w:tcMar>
                          <w:left w:w="43" w:type="dxa"/>
                          <w:right w:w="43" w:type="dxa"/>
                        </w:tcMar>
                      </w:tcPr>
                      <w:p w:rsidR="0087534F" w:rsidRPr="00A15600" w:rsidRDefault="0087534F" w:rsidP="00A15600">
                        <w:pPr>
                          <w:pStyle w:val="TableContents"/>
                          <w:jc w:val="center"/>
                          <w:rPr>
                            <w:sz w:val="18"/>
                            <w:szCs w:val="18"/>
                          </w:rPr>
                        </w:pPr>
                        <w:proofErr w:type="spellStart"/>
                        <w:r w:rsidRPr="00A15600">
                          <w:rPr>
                            <w:sz w:val="18"/>
                            <w:szCs w:val="18"/>
                          </w:rPr>
                          <w:t>Static+</w:t>
                        </w:r>
                        <w:r w:rsidRPr="00A15600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Δ</w:t>
                        </w:r>
                        <w:proofErr w:type="spellEnd"/>
                        <w:r w:rsidRPr="00A15600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(24)</w:t>
                        </w:r>
                      </w:p>
                    </w:tc>
                    <w:tc>
                      <w:tcPr>
                        <w:tcW w:w="1430" w:type="dxa"/>
                      </w:tcPr>
                      <w:p w:rsidR="0087534F" w:rsidRPr="00A15600" w:rsidRDefault="0087534F" w:rsidP="003112A5">
                        <w:pPr>
                          <w:pStyle w:val="TableContents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A15600">
                          <w:rPr>
                            <w:sz w:val="18"/>
                            <w:szCs w:val="18"/>
                          </w:rPr>
                          <w:t>20.6</w:t>
                        </w:r>
                      </w:p>
                    </w:tc>
                    <w:tc>
                      <w:tcPr>
                        <w:tcW w:w="1505" w:type="dxa"/>
                      </w:tcPr>
                      <w:p w:rsidR="0087534F" w:rsidRPr="00A15600" w:rsidRDefault="0087534F" w:rsidP="003112A5">
                        <w:pPr>
                          <w:pStyle w:val="TableContents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A15600">
                          <w:rPr>
                            <w:sz w:val="18"/>
                            <w:szCs w:val="18"/>
                          </w:rPr>
                          <w:t>20.4</w:t>
                        </w:r>
                      </w:p>
                    </w:tc>
                  </w:tr>
                  <w:tr w:rsidR="0087534F" w:rsidTr="00CC0CF7">
                    <w:trPr>
                      <w:jc w:val="center"/>
                    </w:trPr>
                    <w:tc>
                      <w:tcPr>
                        <w:tcW w:w="1520" w:type="dxa"/>
                        <w:tcMar>
                          <w:left w:w="43" w:type="dxa"/>
                          <w:right w:w="43" w:type="dxa"/>
                        </w:tcMar>
                      </w:tcPr>
                      <w:p w:rsidR="0087534F" w:rsidRPr="00A15600" w:rsidRDefault="0087534F" w:rsidP="00A15600">
                        <w:pPr>
                          <w:pStyle w:val="TableContents"/>
                          <w:jc w:val="center"/>
                          <w:rPr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Static+Δ+ΔΔ</w:t>
                        </w:r>
                        <w:proofErr w:type="spellEnd"/>
                        <w:r w:rsidRPr="00A15600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(36)</w:t>
                        </w:r>
                      </w:p>
                    </w:tc>
                    <w:tc>
                      <w:tcPr>
                        <w:tcW w:w="1430" w:type="dxa"/>
                      </w:tcPr>
                      <w:p w:rsidR="0087534F" w:rsidRPr="00A15600" w:rsidRDefault="0087534F" w:rsidP="003112A5">
                        <w:pPr>
                          <w:pStyle w:val="TableContents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A15600">
                          <w:rPr>
                            <w:sz w:val="18"/>
                            <w:szCs w:val="18"/>
                          </w:rPr>
                          <w:t>20.5</w:t>
                        </w:r>
                      </w:p>
                    </w:tc>
                    <w:tc>
                      <w:tcPr>
                        <w:tcW w:w="1505" w:type="dxa"/>
                      </w:tcPr>
                      <w:p w:rsidR="0087534F" w:rsidRPr="00A15600" w:rsidRDefault="0087534F" w:rsidP="003112A5">
                        <w:pPr>
                          <w:pStyle w:val="TableContents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A15600">
                          <w:rPr>
                            <w:sz w:val="18"/>
                            <w:szCs w:val="18"/>
                          </w:rPr>
                          <w:t>20.5</w:t>
                        </w:r>
                      </w:p>
                    </w:tc>
                  </w:tr>
                </w:tbl>
                <w:p w:rsidR="0087534F" w:rsidRDefault="0087534F" w:rsidP="003E1ACB">
                  <w:pPr>
                    <w:pStyle w:val="Caption"/>
                    <w:keepNext/>
                  </w:pPr>
                </w:p>
              </w:txbxContent>
            </v:textbox>
            <w10:wrap type="topAndBottom" anchorx="margin" anchory="margin"/>
          </v:shape>
        </w:pict>
      </w:r>
      <w:r w:rsidR="0087263A">
        <w:t>First we evaluate</w:t>
      </w:r>
      <w:r w:rsidR="0007470F">
        <w:t>d</w:t>
      </w:r>
      <w:r w:rsidR="0087263A">
        <w:t xml:space="preserve"> </w:t>
      </w:r>
      <w:r w:rsidR="007236FA">
        <w:t>performance</w:t>
      </w:r>
      <w:r w:rsidR="00865FED">
        <w:t xml:space="preserve"> </w:t>
      </w:r>
      <w:r w:rsidR="007236FA">
        <w:t xml:space="preserve">with and without delta </w:t>
      </w:r>
      <w:proofErr w:type="gramStart"/>
      <w:r w:rsidR="007236FA">
        <w:t>features</w:t>
      </w:r>
      <w:proofErr w:type="gramEnd"/>
      <w:r w:rsidR="007236FA">
        <w:t xml:space="preserve"> and energy for </w:t>
      </w:r>
      <w:r w:rsidR="009713A8">
        <w:t xml:space="preserve">a </w:t>
      </w:r>
      <w:r w:rsidR="007236FA">
        <w:t xml:space="preserve">fixed number of mixtures. The results are tabulated in Table </w:t>
      </w:r>
      <w:r w:rsidR="001F77FA">
        <w:t>3</w:t>
      </w:r>
      <w:r w:rsidR="007236FA">
        <w:t>.</w:t>
      </w:r>
      <w:r w:rsidR="001A2FCA">
        <w:t xml:space="preserve"> </w:t>
      </w:r>
      <w:r w:rsidR="00BC028B">
        <w:t xml:space="preserve">For GMM, substantial improvement is obtained using </w:t>
      </w:r>
      <w:r w:rsidR="009713A8">
        <w:t>the delta features and marginal improvements were obtained using delta-delta features.</w:t>
      </w:r>
      <w:r w:rsidR="009713A8" w:rsidDel="009713A8">
        <w:t xml:space="preserve"> </w:t>
      </w:r>
      <w:r w:rsidR="009713A8">
        <w:t xml:space="preserve">For </w:t>
      </w:r>
      <w:proofErr w:type="spellStart"/>
      <w:r w:rsidR="009713A8">
        <w:t>MixAR</w:t>
      </w:r>
      <w:proofErr w:type="spellEnd"/>
      <w:r w:rsidR="009713A8">
        <w:t xml:space="preserve">, the </w:t>
      </w:r>
      <w:r w:rsidR="00BC028B">
        <w:t xml:space="preserve">use of any delta features </w:t>
      </w:r>
      <w:r w:rsidR="009713A8">
        <w:t xml:space="preserve">provides no measurable </w:t>
      </w:r>
      <w:r w:rsidR="009713A8">
        <w:lastRenderedPageBreak/>
        <w:t xml:space="preserve">improvements. </w:t>
      </w:r>
      <w:r w:rsidR="00BC028B">
        <w:t xml:space="preserve">This clearly indicates that </w:t>
      </w:r>
      <w:proofErr w:type="spellStart"/>
      <w:r w:rsidR="00BC028B">
        <w:t>MixAR</w:t>
      </w:r>
      <w:proofErr w:type="spellEnd"/>
      <w:r w:rsidR="00BC028B">
        <w:t xml:space="preserve"> can extract all necessary information from only </w:t>
      </w:r>
      <w:r w:rsidR="009713A8">
        <w:t xml:space="preserve">the </w:t>
      </w:r>
      <w:r w:rsidR="00BC028B">
        <w:t>static features</w:t>
      </w:r>
      <w:r w:rsidR="009713A8">
        <w:t>.</w:t>
      </w:r>
      <w:r w:rsidR="007B67F3">
        <w:t xml:space="preserve"> </w:t>
      </w:r>
    </w:p>
    <w:p w:rsidR="0087263A" w:rsidRDefault="00BC028B" w:rsidP="0051280E">
      <w:pPr>
        <w:pStyle w:val="ISIPparagraph"/>
      </w:pPr>
      <w:proofErr w:type="spellStart"/>
      <w:r>
        <w:t>MixAR</w:t>
      </w:r>
      <w:proofErr w:type="spellEnd"/>
      <w:r>
        <w:t xml:space="preserve"> and GMM</w:t>
      </w:r>
      <w:r w:rsidR="009713A8">
        <w:t xml:space="preserve"> </w:t>
      </w:r>
      <w:r w:rsidR="001F77FA">
        <w:t>performance</w:t>
      </w:r>
      <w:r w:rsidR="009713A8">
        <w:t xml:space="preserve"> was then evaluated as a function of the number of mixtures</w:t>
      </w:r>
      <w:r w:rsidR="0015439D">
        <w:t xml:space="preserve">. </w:t>
      </w:r>
      <w:r w:rsidR="0090443A">
        <w:t xml:space="preserve">The </w:t>
      </w:r>
      <w:r w:rsidR="00282A1A">
        <w:t>detection error trade-off (DET) curves</w:t>
      </w:r>
      <w:r w:rsidR="0090443A">
        <w:t xml:space="preserve"> </w:t>
      </w:r>
      <w:r w:rsidR="006C435E">
        <w:t xml:space="preserve">are </w:t>
      </w:r>
      <w:r w:rsidR="0015439D">
        <w:t xml:space="preserve">shown </w:t>
      </w:r>
      <w:r w:rsidR="006C435E">
        <w:t>in Fig</w:t>
      </w:r>
      <w:r w:rsidR="00C71EB1">
        <w:t>ure</w:t>
      </w:r>
      <w:r w:rsidR="006C435E">
        <w:t xml:space="preserve"> 2</w:t>
      </w:r>
      <w:r w:rsidR="0090443A">
        <w:t xml:space="preserve">. The EER results are </w:t>
      </w:r>
      <w:r w:rsidR="0087263A">
        <w:t>shown in</w:t>
      </w:r>
      <w:r w:rsidR="0005036B">
        <w:t xml:space="preserve"> </w:t>
      </w:r>
      <w:r w:rsidR="0015439D">
        <w:t xml:space="preserve">Table 4. </w:t>
      </w:r>
      <w:r w:rsidR="0087263A">
        <w:t xml:space="preserve"> </w:t>
      </w:r>
      <w:r>
        <w:t xml:space="preserve">Also indicated </w:t>
      </w:r>
      <w:r w:rsidR="00CC0CF7">
        <w:t>in parenthesis</w:t>
      </w:r>
      <w:r>
        <w:t xml:space="preserve"> </w:t>
      </w:r>
      <w:r w:rsidR="00CC0CF7">
        <w:t>is the number</w:t>
      </w:r>
      <w:r>
        <w:t xml:space="preserve"> of parameters for each case. </w:t>
      </w:r>
      <w:r w:rsidR="0087263A">
        <w:t>From this</w:t>
      </w:r>
      <w:r>
        <w:t xml:space="preserve"> table it is clear that </w:t>
      </w:r>
      <w:proofErr w:type="spellStart"/>
      <w:r>
        <w:t>MixAR</w:t>
      </w:r>
      <w:proofErr w:type="spellEnd"/>
      <w:r>
        <w:t xml:space="preserve"> </w:t>
      </w:r>
      <w:r w:rsidR="00362A36">
        <w:t xml:space="preserve">can achieve about the same performance using </w:t>
      </w:r>
      <w:r w:rsidR="0015439D">
        <w:t xml:space="preserve">almost 4x fewer </w:t>
      </w:r>
      <w:r w:rsidR="00362A36">
        <w:t xml:space="preserve">parameters than GMM. This reduction in the number of parameters points to the efficiency of </w:t>
      </w:r>
      <w:proofErr w:type="spellStart"/>
      <w:r w:rsidR="00362A36">
        <w:t>MixAR</w:t>
      </w:r>
      <w:proofErr w:type="spellEnd"/>
      <w:r w:rsidR="00362A36">
        <w:t xml:space="preserve"> in capturing the dynamic information. Moreover, </w:t>
      </w:r>
      <w:r w:rsidR="00282A1A">
        <w:t xml:space="preserve">even when </w:t>
      </w:r>
      <w:r w:rsidR="00362A36">
        <w:t>considering the best case</w:t>
      </w:r>
      <w:r w:rsidR="00376002">
        <w:t xml:space="preserve"> scenario for GMM with a large number of parameters (8 mixtures with static as well as velocity and acceleration coefficients)</w:t>
      </w:r>
      <w:r w:rsidR="00362A36">
        <w:t>, there is</w:t>
      </w:r>
      <w:r>
        <w:t xml:space="preserve"> </w:t>
      </w:r>
      <w:r w:rsidR="00362A36">
        <w:t xml:space="preserve">a 10.6% relative reduction in EER with </w:t>
      </w:r>
      <w:proofErr w:type="spellStart"/>
      <w:r w:rsidR="00362A36">
        <w:t>MixAR</w:t>
      </w:r>
      <w:proofErr w:type="spellEnd"/>
      <w:r w:rsidR="00362A36">
        <w:t>. This is a strong indication that there is some amount of nonlinear evolution information in speech features that GMM model cannot capture using linear derivatives alone</w:t>
      </w:r>
      <w:r w:rsidR="00282A1A">
        <w:t xml:space="preserve"> and </w:t>
      </w:r>
      <w:proofErr w:type="spellStart"/>
      <w:r w:rsidR="00282A1A">
        <w:t>MixAR</w:t>
      </w:r>
      <w:proofErr w:type="spellEnd"/>
      <w:r w:rsidR="00282A1A">
        <w:t xml:space="preserve"> can effectively employ this information for achieving better speaker recognition.</w:t>
      </w:r>
    </w:p>
    <w:p w:rsidR="00736357" w:rsidRDefault="00A62390">
      <w:pPr>
        <w:pStyle w:val="Heading1"/>
      </w:pPr>
      <w:r>
        <w:t>Summary</w:t>
      </w:r>
      <w:bookmarkEnd w:id="5"/>
    </w:p>
    <w:p w:rsidR="00552149" w:rsidRDefault="00D75ABC">
      <w:pPr>
        <w:pStyle w:val="BodyText"/>
      </w:pPr>
      <w:r w:rsidRPr="00D75ABC">
        <w:t xml:space="preserve">In this paper, we presented a novel nonlinear mixture autoregressive </w:t>
      </w:r>
      <w:r w:rsidR="00282A1A">
        <w:t xml:space="preserve">model </w:t>
      </w:r>
      <w:r w:rsidRPr="00D75ABC">
        <w:t>(</w:t>
      </w:r>
      <w:proofErr w:type="spellStart"/>
      <w:r w:rsidRPr="00D75ABC">
        <w:t>M</w:t>
      </w:r>
      <w:r w:rsidR="00282A1A">
        <w:t>ixAR</w:t>
      </w:r>
      <w:proofErr w:type="spellEnd"/>
      <w:r w:rsidR="00282A1A">
        <w:t>)</w:t>
      </w:r>
      <w:r w:rsidRPr="00D75ABC">
        <w:t xml:space="preserve"> for spe</w:t>
      </w:r>
      <w:r w:rsidR="00282A1A">
        <w:t>aker</w:t>
      </w:r>
      <w:r w:rsidRPr="00D75ABC">
        <w:t xml:space="preserve"> recognition. </w:t>
      </w:r>
      <w:r w:rsidR="003D76C8">
        <w:t>W</w:t>
      </w:r>
      <w:r w:rsidRPr="00D75ABC">
        <w:t>e de</w:t>
      </w:r>
      <w:r w:rsidR="003D76C8">
        <w:t xml:space="preserve">scribed techniques for estimating the parameters of this model based on the </w:t>
      </w:r>
      <w:r w:rsidRPr="00D75ABC">
        <w:t>EM algorithm</w:t>
      </w:r>
      <w:r w:rsidR="00282A1A">
        <w:t xml:space="preserve"> and ways to resolve some of the algorithmic issues in this procedure</w:t>
      </w:r>
      <w:r w:rsidR="003D76C8">
        <w:t>.</w:t>
      </w:r>
      <w:r w:rsidRPr="00D75ABC">
        <w:t xml:space="preserve"> </w:t>
      </w:r>
      <w:r w:rsidR="003D76C8">
        <w:t xml:space="preserve">We presented preliminary results on two small pattern recognition tasks. We showed that </w:t>
      </w:r>
      <w:proofErr w:type="spellStart"/>
      <w:r w:rsidRPr="00D75ABC">
        <w:t>M</w:t>
      </w:r>
      <w:r w:rsidR="00282A1A">
        <w:t>ixAR</w:t>
      </w:r>
      <w:proofErr w:type="spellEnd"/>
      <w:r w:rsidR="00282A1A">
        <w:t xml:space="preserve"> </w:t>
      </w:r>
      <w:r w:rsidRPr="00D75ABC">
        <w:t xml:space="preserve">can outperform GMM if </w:t>
      </w:r>
      <w:r w:rsidR="003D76C8">
        <w:t xml:space="preserve">the </w:t>
      </w:r>
      <w:r w:rsidRPr="00D75ABC">
        <w:t xml:space="preserve">patterns have </w:t>
      </w:r>
      <w:r w:rsidR="008F58DA">
        <w:t xml:space="preserve">a </w:t>
      </w:r>
      <w:r w:rsidR="00282A1A">
        <w:t xml:space="preserve">distinct </w:t>
      </w:r>
      <w:r w:rsidRPr="00D75ABC">
        <w:t xml:space="preserve">nonlinear evolution function. </w:t>
      </w:r>
      <w:r w:rsidR="003D76C8">
        <w:t>W</w:t>
      </w:r>
      <w:r w:rsidRPr="00D75ABC">
        <w:t xml:space="preserve">e applied this model to a </w:t>
      </w:r>
      <w:r w:rsidR="00282A1A">
        <w:t xml:space="preserve">speaker verification task and </w:t>
      </w:r>
      <w:r w:rsidR="003D76C8">
        <w:t xml:space="preserve">showed that </w:t>
      </w:r>
      <w:proofErr w:type="spellStart"/>
      <w:r w:rsidRPr="00D75ABC">
        <w:t>M</w:t>
      </w:r>
      <w:r w:rsidR="00282A1A">
        <w:t>ixAR</w:t>
      </w:r>
      <w:proofErr w:type="spellEnd"/>
      <w:r w:rsidRPr="00D75ABC">
        <w:t xml:space="preserve"> can exploit the dynamic</w:t>
      </w:r>
      <w:r w:rsidR="003D76C8">
        <w:t xml:space="preserve"> </w:t>
      </w:r>
      <w:r w:rsidRPr="00D75ABC">
        <w:t>i</w:t>
      </w:r>
      <w:r w:rsidR="00282A1A">
        <w:t>nformation in speech to achieve appreciably better verification performance with significantly fewer parameters compared to a GMM.</w:t>
      </w:r>
    </w:p>
    <w:p w:rsidR="00552149" w:rsidRDefault="00D83D12">
      <w:pPr>
        <w:ind w:firstLine="270"/>
      </w:pPr>
      <w:r>
        <w:rPr>
          <w:noProof/>
        </w:rPr>
        <w:pict>
          <v:shape id="_x0000_s1996" type="#_x0000_t202" style="position:absolute;left:0;text-align:left;margin-left:0;margin-top:0;width:224.55pt;height:194pt;z-index:251660288;mso-wrap-distance-bottom:7.2pt;mso-position-horizontal:left;mso-position-horizontal-relative:margin;mso-position-vertical:top;mso-position-vertical-relative:margin;mso-width-relative:margin;mso-height-relative:margin" o:allowoverlap="f" stroked="f">
            <v:textbox style="mso-next-textbox:#_x0000_s1996" inset="0,7.2pt,0,7.2pt">
              <w:txbxContent>
                <w:p w:rsidR="0087534F" w:rsidRPr="00762A86" w:rsidRDefault="0087534F" w:rsidP="00282A1A">
                  <w:pPr>
                    <w:pStyle w:val="Caption"/>
                    <w:spacing w:before="0" w:after="120"/>
                    <w:ind w:left="288" w:right="288"/>
                    <w:rPr>
                      <w:i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2460171" cy="2152650"/>
                        <wp:effectExtent l="0" t="0" r="0" b="0"/>
                        <wp:docPr id="395" name="Picture 39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9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61550" cy="215385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Figure 2: </w:t>
                  </w:r>
                  <w:r w:rsidRPr="00762A86">
                    <w:rPr>
                      <w:i/>
                    </w:rPr>
                    <w:t>S</w:t>
                  </w:r>
                  <w:r>
                    <w:rPr>
                      <w:i/>
                    </w:rPr>
                    <w:t xml:space="preserve">peaker </w:t>
                  </w:r>
                  <w:r w:rsidR="00865FED">
                    <w:rPr>
                      <w:i/>
                    </w:rPr>
                    <w:t xml:space="preserve">recognition </w:t>
                  </w:r>
                  <w:r>
                    <w:rPr>
                      <w:i/>
                    </w:rPr>
                    <w:t>DET curves with NIST.</w:t>
                  </w:r>
                </w:p>
                <w:p w:rsidR="0087534F" w:rsidRDefault="0087534F" w:rsidP="00B44502">
                  <w:pPr>
                    <w:pStyle w:val="Caption"/>
                    <w:keepNext/>
                    <w:jc w:val="left"/>
                  </w:pPr>
                </w:p>
              </w:txbxContent>
            </v:textbox>
            <w10:wrap type="square" anchorx="margin" anchory="margin"/>
          </v:shape>
        </w:pict>
      </w:r>
      <w:r w:rsidR="008F58DA">
        <w:t xml:space="preserve">The </w:t>
      </w:r>
      <w:r w:rsidR="00953F24">
        <w:t xml:space="preserve">experiments with </w:t>
      </w:r>
      <w:proofErr w:type="spellStart"/>
      <w:r w:rsidR="00953F24">
        <w:t>MixAR</w:t>
      </w:r>
      <w:proofErr w:type="spellEnd"/>
      <w:r w:rsidR="00953F24">
        <w:t xml:space="preserve"> </w:t>
      </w:r>
      <w:r w:rsidR="008F58DA">
        <w:t xml:space="preserve">on speaker recognition </w:t>
      </w:r>
      <w:r w:rsidR="00953F24">
        <w:t xml:space="preserve">have yielded very encouraging results. </w:t>
      </w:r>
      <w:r w:rsidR="008F58DA">
        <w:t xml:space="preserve">An overarching goal of our work on nonlinear statistical modeling has been the belief that nonlinear systems can be more robust on problems involving previously unseen channel conditions. </w:t>
      </w:r>
      <w:r w:rsidR="00282A1A">
        <w:t>W</w:t>
      </w:r>
      <w:r w:rsidR="00953F24">
        <w:t>e p</w:t>
      </w:r>
      <w:r w:rsidR="00282A1A">
        <w:t xml:space="preserve">lan to </w:t>
      </w:r>
      <w:r w:rsidR="008F58DA">
        <w:t xml:space="preserve">next </w:t>
      </w:r>
      <w:r w:rsidR="00282A1A">
        <w:t xml:space="preserve">extend this work </w:t>
      </w:r>
      <w:r w:rsidR="008F58DA">
        <w:t>to a large vocabulary speaker independent speech recognition task.</w:t>
      </w:r>
    </w:p>
    <w:p w:rsidR="00736357" w:rsidRDefault="00EE28EB">
      <w:pPr>
        <w:pStyle w:val="Heading1"/>
      </w:pPr>
      <w:r w:rsidRPr="0033735D">
        <w:t>Acknowledgements</w:t>
      </w:r>
    </w:p>
    <w:p w:rsidR="00552149" w:rsidRDefault="00876636">
      <w:pPr>
        <w:pStyle w:val="BodyText"/>
      </w:pPr>
      <w:r w:rsidRPr="00876636">
        <w:t>This material is based upon work supported by the National Science Foundation under Grant</w:t>
      </w:r>
      <w:r w:rsidR="00BF5666">
        <w:t> </w:t>
      </w:r>
      <w:r w:rsidRPr="00876636">
        <w:t>No.</w:t>
      </w:r>
      <w:r w:rsidR="00BF5666">
        <w:t> </w:t>
      </w:r>
      <w:proofErr w:type="gramStart"/>
      <w:r w:rsidRPr="00876636">
        <w:t>IIS-0414450.</w:t>
      </w:r>
      <w:proofErr w:type="gramEnd"/>
      <w:r w:rsidRPr="00876636">
        <w:t xml:space="preserve"> Any opinions, findings, and conclusions or recommendations expressed in this material are those of the author(s) and do not necessarily reflect the views of the National Science Foundation.</w:t>
      </w:r>
    </w:p>
    <w:p w:rsidR="00736357" w:rsidRDefault="00D83D12">
      <w:pPr>
        <w:pStyle w:val="Heading1"/>
      </w:pPr>
      <w:r>
        <w:rPr>
          <w:noProof/>
        </w:rPr>
        <w:pict>
          <v:shape id="_x0000_s2014" type="#_x0000_t202" style="position:absolute;left:0;text-align:left;margin-left:1476.4pt;margin-top:0;width:224.55pt;height:150.6pt;z-index:251663360;mso-wrap-distance-bottom:7.2pt;mso-position-horizontal:right;mso-position-horizontal-relative:margin;mso-position-vertical:top;mso-position-vertical-relative:margin;mso-width-relative:margin;mso-height-relative:margin" o:allowoverlap="f" stroked="f">
            <v:textbox style="mso-next-textbox:#_x0000_s2014" inset="0,7.2pt,0,7.2pt">
              <w:txbxContent>
                <w:p w:rsidR="0087534F" w:rsidRPr="00762A86" w:rsidRDefault="0087534F" w:rsidP="00FA4A03">
                  <w:pPr>
                    <w:pStyle w:val="Caption"/>
                    <w:spacing w:before="0" w:after="120"/>
                    <w:ind w:left="288" w:right="288"/>
                    <w:jc w:val="left"/>
                    <w:rPr>
                      <w:i/>
                    </w:rPr>
                  </w:pPr>
                  <w:proofErr w:type="gramStart"/>
                  <w:r>
                    <w:t xml:space="preserve">Table 4: </w:t>
                  </w:r>
                  <w:r w:rsidRPr="00762A86">
                    <w:rPr>
                      <w:i/>
                    </w:rPr>
                    <w:t>S</w:t>
                  </w:r>
                  <w:r>
                    <w:rPr>
                      <w:i/>
                    </w:rPr>
                    <w:t xml:space="preserve">peaker </w:t>
                  </w:r>
                  <w:r w:rsidR="00865FED">
                    <w:rPr>
                      <w:i/>
                    </w:rPr>
                    <w:t xml:space="preserve">recognition </w:t>
                  </w:r>
                  <w:r>
                    <w:rPr>
                      <w:i/>
                    </w:rPr>
                    <w:t xml:space="preserve">EER with NIST for </w:t>
                  </w:r>
                  <w:proofErr w:type="spellStart"/>
                  <w:r>
                    <w:rPr>
                      <w:i/>
                    </w:rPr>
                    <w:t>MixAR</w:t>
                  </w:r>
                  <w:proofErr w:type="spellEnd"/>
                  <w:r>
                    <w:rPr>
                      <w:i/>
                    </w:rPr>
                    <w:t xml:space="preserve"> and GMM as a function of #mix.</w:t>
                  </w:r>
                  <w:proofErr w:type="gramEnd"/>
                  <w:r>
                    <w:rPr>
                      <w:i/>
                    </w:rPr>
                    <w:t xml:space="preserve"> </w:t>
                  </w:r>
                  <w:r w:rsidRPr="00762A86">
                    <w:rPr>
                      <w:i/>
                    </w:rPr>
                    <w:t>(</w:t>
                  </w:r>
                  <w:proofErr w:type="gramStart"/>
                  <w:r w:rsidRPr="00762A86">
                    <w:rPr>
                      <w:i/>
                    </w:rPr>
                    <w:t>the</w:t>
                  </w:r>
                  <w:proofErr w:type="gramEnd"/>
                  <w:r w:rsidRPr="00762A86">
                    <w:rPr>
                      <w:i/>
                    </w:rPr>
                    <w:t xml:space="preserve"> numbers of parameters are shown in parentheses).</w:t>
                  </w:r>
                </w:p>
                <w:tbl>
                  <w:tblPr>
                    <w:tblW w:w="4271" w:type="dxa"/>
                    <w:jc w:val="center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4A0"/>
                  </w:tblPr>
                  <w:tblGrid>
                    <w:gridCol w:w="1364"/>
                    <w:gridCol w:w="1424"/>
                    <w:gridCol w:w="1483"/>
                  </w:tblGrid>
                  <w:tr w:rsidR="0087534F" w:rsidTr="00121D25">
                    <w:trPr>
                      <w:trHeight w:val="593"/>
                      <w:jc w:val="center"/>
                    </w:trPr>
                    <w:tc>
                      <w:tcPr>
                        <w:tcW w:w="1364" w:type="dxa"/>
                        <w:tcMar>
                          <w:left w:w="43" w:type="dxa"/>
                          <w:right w:w="43" w:type="dxa"/>
                        </w:tcMar>
                      </w:tcPr>
                      <w:p w:rsidR="00D20300" w:rsidRDefault="0087534F">
                        <w:pPr>
                          <w:pStyle w:val="IESParagraph"/>
                          <w:jc w:val="center"/>
                        </w:pPr>
                        <w:r w:rsidRPr="00B13F02">
                          <w:t xml:space="preserve"># </w:t>
                        </w:r>
                        <w:proofErr w:type="gramStart"/>
                        <w:r w:rsidRPr="00B13F02">
                          <w:t>mix</w:t>
                        </w:r>
                        <w:proofErr w:type="gramEnd"/>
                        <w:r>
                          <w:t>.</w:t>
                        </w:r>
                      </w:p>
                    </w:tc>
                    <w:tc>
                      <w:tcPr>
                        <w:tcW w:w="1424" w:type="dxa"/>
                      </w:tcPr>
                      <w:p w:rsidR="00D20300" w:rsidRDefault="00405263">
                        <w:pPr>
                          <w:pStyle w:val="IESParagraph"/>
                          <w:ind w:firstLine="0"/>
                          <w:jc w:val="center"/>
                        </w:pPr>
                        <w:proofErr w:type="spellStart"/>
                        <w:r>
                          <w:t>MixAR</w:t>
                        </w:r>
                        <w:proofErr w:type="spellEnd"/>
                        <w:r w:rsidRPr="002E2D23">
                          <w:br/>
                          <w:t>Static</w:t>
                        </w:r>
                        <w:r w:rsidR="004234DF">
                          <w:t>+</w:t>
                        </w:r>
                        <w:r w:rsidR="004234DF" w:rsidRPr="00430071">
                          <w:rPr>
                            <w:szCs w:val="18"/>
                          </w:rPr>
                          <w:t>∆</w:t>
                        </w:r>
                        <w:r w:rsidR="004234DF">
                          <w:rPr>
                            <w:szCs w:val="18"/>
                          </w:rPr>
                          <w:t>+</w:t>
                        </w:r>
                        <w:r w:rsidR="004234DF" w:rsidRPr="00430071">
                          <w:rPr>
                            <w:szCs w:val="18"/>
                          </w:rPr>
                          <w:t>∆∆</w:t>
                        </w:r>
                      </w:p>
                    </w:tc>
                    <w:tc>
                      <w:tcPr>
                        <w:tcW w:w="1483" w:type="dxa"/>
                      </w:tcPr>
                      <w:p w:rsidR="00D20300" w:rsidRDefault="004234DF" w:rsidP="00D20300">
                        <w:pPr>
                          <w:pStyle w:val="IESParagraph"/>
                          <w:ind w:firstLine="0"/>
                          <w:jc w:val="center"/>
                        </w:pPr>
                        <w:proofErr w:type="spellStart"/>
                        <w:r>
                          <w:t>MixAR</w:t>
                        </w:r>
                        <w:proofErr w:type="spellEnd"/>
                        <w:r w:rsidRPr="002E2D23">
                          <w:br/>
                          <w:t>Static</w:t>
                        </w:r>
                      </w:p>
                    </w:tc>
                  </w:tr>
                  <w:tr w:rsidR="0087534F" w:rsidTr="00121D25">
                    <w:trPr>
                      <w:trHeight w:val="269"/>
                      <w:jc w:val="center"/>
                    </w:trPr>
                    <w:tc>
                      <w:tcPr>
                        <w:tcW w:w="1364" w:type="dxa"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:rsidR="00830882" w:rsidRDefault="0087534F">
                        <w:pPr>
                          <w:pStyle w:val="IESParagraph"/>
                          <w:spacing w:before="0"/>
                          <w:jc w:val="center"/>
                        </w:pPr>
                        <w:r w:rsidRPr="008D0A83">
                          <w:t>2</w:t>
                        </w:r>
                      </w:p>
                    </w:tc>
                    <w:tc>
                      <w:tcPr>
                        <w:tcW w:w="1424" w:type="dxa"/>
                        <w:vAlign w:val="center"/>
                      </w:tcPr>
                      <w:p w:rsidR="0087534F" w:rsidRPr="008D0A83" w:rsidRDefault="0087534F" w:rsidP="00121D25">
                        <w:pPr>
                          <w:pStyle w:val="TableContents"/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23.1(216)</w:t>
                        </w:r>
                      </w:p>
                    </w:tc>
                    <w:tc>
                      <w:tcPr>
                        <w:tcW w:w="1483" w:type="dxa"/>
                        <w:vAlign w:val="center"/>
                      </w:tcPr>
                      <w:p w:rsidR="0087534F" w:rsidRPr="008D0A83" w:rsidRDefault="0087534F" w:rsidP="00121D25">
                        <w:pPr>
                          <w:pStyle w:val="TableContents"/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24.1(120)</w:t>
                        </w:r>
                      </w:p>
                    </w:tc>
                  </w:tr>
                  <w:tr w:rsidR="0087534F" w:rsidTr="00121D25">
                    <w:trPr>
                      <w:trHeight w:val="197"/>
                      <w:jc w:val="center"/>
                    </w:trPr>
                    <w:tc>
                      <w:tcPr>
                        <w:tcW w:w="1364" w:type="dxa"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:rsidR="00830882" w:rsidRDefault="0087534F">
                        <w:pPr>
                          <w:pStyle w:val="IESParagraph"/>
                          <w:spacing w:before="0"/>
                          <w:jc w:val="center"/>
                        </w:pPr>
                        <w:r w:rsidRPr="008D0A83">
                          <w:t>4</w:t>
                        </w:r>
                      </w:p>
                    </w:tc>
                    <w:tc>
                      <w:tcPr>
                        <w:tcW w:w="1424" w:type="dxa"/>
                        <w:vAlign w:val="center"/>
                      </w:tcPr>
                      <w:p w:rsidR="0087534F" w:rsidRPr="008D0A83" w:rsidRDefault="0087534F" w:rsidP="00121D25">
                        <w:pPr>
                          <w:pStyle w:val="TableContents"/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21.7(432)</w:t>
                        </w:r>
                      </w:p>
                    </w:tc>
                    <w:tc>
                      <w:tcPr>
                        <w:tcW w:w="1483" w:type="dxa"/>
                        <w:vAlign w:val="center"/>
                      </w:tcPr>
                      <w:p w:rsidR="0087534F" w:rsidRPr="008D0A83" w:rsidRDefault="0087534F" w:rsidP="00121D25">
                        <w:pPr>
                          <w:pStyle w:val="TableContents"/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19.2(240)</w:t>
                        </w:r>
                      </w:p>
                    </w:tc>
                  </w:tr>
                  <w:tr w:rsidR="0087534F" w:rsidTr="00121D25">
                    <w:trPr>
                      <w:jc w:val="center"/>
                    </w:trPr>
                    <w:tc>
                      <w:tcPr>
                        <w:tcW w:w="1364" w:type="dxa"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:rsidR="00830882" w:rsidRDefault="0087534F">
                        <w:pPr>
                          <w:pStyle w:val="IESParagraph"/>
                          <w:spacing w:before="0"/>
                          <w:jc w:val="center"/>
                        </w:pPr>
                        <w:r w:rsidRPr="008D0A83">
                          <w:t>8</w:t>
                        </w:r>
                      </w:p>
                    </w:tc>
                    <w:tc>
                      <w:tcPr>
                        <w:tcW w:w="1424" w:type="dxa"/>
                        <w:vAlign w:val="center"/>
                      </w:tcPr>
                      <w:p w:rsidR="0087534F" w:rsidRPr="008D0A83" w:rsidRDefault="0087534F" w:rsidP="00121D25">
                        <w:pPr>
                          <w:pStyle w:val="TableContents"/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20.5(864)</w:t>
                        </w:r>
                      </w:p>
                    </w:tc>
                    <w:tc>
                      <w:tcPr>
                        <w:tcW w:w="1483" w:type="dxa"/>
                        <w:vAlign w:val="center"/>
                      </w:tcPr>
                      <w:p w:rsidR="0087534F" w:rsidRPr="008D0A83" w:rsidRDefault="0087534F" w:rsidP="00121D25">
                        <w:pPr>
                          <w:pStyle w:val="TableContents"/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19.1(480)</w:t>
                        </w:r>
                      </w:p>
                    </w:tc>
                  </w:tr>
                  <w:tr w:rsidR="0087534F" w:rsidTr="00121D25">
                    <w:trPr>
                      <w:trHeight w:val="251"/>
                      <w:jc w:val="center"/>
                    </w:trPr>
                    <w:tc>
                      <w:tcPr>
                        <w:tcW w:w="1364" w:type="dxa"/>
                        <w:tcMar>
                          <w:left w:w="43" w:type="dxa"/>
                          <w:right w:w="43" w:type="dxa"/>
                        </w:tcMar>
                        <w:vAlign w:val="center"/>
                      </w:tcPr>
                      <w:p w:rsidR="00830882" w:rsidRDefault="0087534F">
                        <w:pPr>
                          <w:pStyle w:val="IESParagraph"/>
                          <w:spacing w:before="0"/>
                          <w:jc w:val="center"/>
                        </w:pPr>
                        <w:r w:rsidRPr="008D0A83">
                          <w:t>16</w:t>
                        </w:r>
                      </w:p>
                    </w:tc>
                    <w:tc>
                      <w:tcPr>
                        <w:tcW w:w="1424" w:type="dxa"/>
                        <w:vAlign w:val="center"/>
                      </w:tcPr>
                      <w:p w:rsidR="0087534F" w:rsidRPr="008D0A83" w:rsidRDefault="0087534F" w:rsidP="00121D25">
                        <w:pPr>
                          <w:pStyle w:val="TableContents"/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20.5(1728)</w:t>
                        </w:r>
                      </w:p>
                    </w:tc>
                    <w:tc>
                      <w:tcPr>
                        <w:tcW w:w="1483" w:type="dxa"/>
                        <w:vAlign w:val="center"/>
                      </w:tcPr>
                      <w:p w:rsidR="0087534F" w:rsidRPr="008D0A83" w:rsidRDefault="0087534F" w:rsidP="00121D25">
                        <w:pPr>
                          <w:pStyle w:val="TableContents"/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19.2(960)</w:t>
                        </w:r>
                      </w:p>
                    </w:tc>
                  </w:tr>
                </w:tbl>
                <w:p w:rsidR="0087534F" w:rsidRDefault="0087534F" w:rsidP="00FA4A03">
                  <w:pPr>
                    <w:pStyle w:val="Caption"/>
                    <w:keepNext/>
                  </w:pPr>
                </w:p>
              </w:txbxContent>
            </v:textbox>
            <w10:wrap type="square" anchorx="margin" anchory="margin"/>
          </v:shape>
        </w:pict>
      </w:r>
      <w:r w:rsidR="00EE28EB" w:rsidRPr="0033735D">
        <w:t>References</w:t>
      </w:r>
    </w:p>
    <w:p w:rsidR="00876636" w:rsidRDefault="00D64B4D" w:rsidP="00D64B4D">
      <w:pPr>
        <w:pStyle w:val="StyleReference8pt"/>
        <w:ind w:left="360"/>
        <w:jc w:val="both"/>
      </w:pPr>
      <w:bookmarkStart w:id="8" w:name="_Ref195687689"/>
      <w:r>
        <w:t xml:space="preserve">D. A. Reynolds, </w:t>
      </w:r>
      <w:r w:rsidRPr="00D64B4D">
        <w:t>Speaker identi</w:t>
      </w:r>
      <w:r>
        <w:t>fi</w:t>
      </w:r>
      <w:r w:rsidRPr="00D64B4D">
        <w:t>cation and veri</w:t>
      </w:r>
      <w:r>
        <w:t>fi</w:t>
      </w:r>
      <w:r w:rsidRPr="00D64B4D">
        <w:t>cation</w:t>
      </w:r>
      <w:r>
        <w:t xml:space="preserve"> </w:t>
      </w:r>
      <w:r w:rsidRPr="00D64B4D">
        <w:t xml:space="preserve">using </w:t>
      </w:r>
      <w:r>
        <w:t>G</w:t>
      </w:r>
      <w:r w:rsidRPr="00D64B4D">
        <w:t>aussian mixture speaker</w:t>
      </w:r>
      <w:r>
        <w:t xml:space="preserve"> </w:t>
      </w:r>
      <w:r w:rsidRPr="00D64B4D">
        <w:t>models</w:t>
      </w:r>
      <w:r>
        <w:t xml:space="preserve">, </w:t>
      </w:r>
      <w:r w:rsidRPr="00D64B4D">
        <w:rPr>
          <w:i/>
        </w:rPr>
        <w:t>Speech Communication</w:t>
      </w:r>
      <w:bookmarkEnd w:id="8"/>
      <w:r>
        <w:t>, vol.</w:t>
      </w:r>
      <w:r w:rsidR="00D40907">
        <w:t> </w:t>
      </w:r>
      <w:r>
        <w:t xml:space="preserve">17, </w:t>
      </w:r>
      <w:r w:rsidR="00370E13">
        <w:t>no. </w:t>
      </w:r>
      <w:r w:rsidR="002728B4">
        <w:t>1-2</w:t>
      </w:r>
      <w:r w:rsidR="00370E13">
        <w:t xml:space="preserve">, </w:t>
      </w:r>
      <w:r>
        <w:t>pp.</w:t>
      </w:r>
      <w:r w:rsidR="00D40907">
        <w:t> </w:t>
      </w:r>
      <w:r>
        <w:t xml:space="preserve">91-108, </w:t>
      </w:r>
      <w:r w:rsidR="002728B4">
        <w:t>August</w:t>
      </w:r>
      <w:r w:rsidR="00DD0F15">
        <w:t> </w:t>
      </w:r>
      <w:r>
        <w:t>1995.</w:t>
      </w:r>
    </w:p>
    <w:p w:rsidR="00DC6942" w:rsidRDefault="00906828" w:rsidP="00D64B4D">
      <w:pPr>
        <w:pStyle w:val="StyleReference8pt"/>
        <w:ind w:left="360"/>
        <w:jc w:val="both"/>
      </w:pPr>
      <w:bookmarkStart w:id="9" w:name="_Ref227667205"/>
      <w:r>
        <w:t>X. Huang, A. </w:t>
      </w:r>
      <w:proofErr w:type="spellStart"/>
      <w:r>
        <w:t>Acero</w:t>
      </w:r>
      <w:proofErr w:type="spellEnd"/>
      <w:r>
        <w:t xml:space="preserve">, and H. Hon, </w:t>
      </w:r>
      <w:r w:rsidR="00DC6942" w:rsidRPr="00DC6942">
        <w:rPr>
          <w:i/>
        </w:rPr>
        <w:t xml:space="preserve">Spoken Language Processing: A </w:t>
      </w:r>
      <w:r w:rsidR="00370E13">
        <w:rPr>
          <w:i/>
        </w:rPr>
        <w:t>G</w:t>
      </w:r>
      <w:r w:rsidR="00DC6942" w:rsidRPr="00DC6942">
        <w:rPr>
          <w:i/>
        </w:rPr>
        <w:t>uide to Theory, Algorithm, and System Development</w:t>
      </w:r>
      <w:r w:rsidR="00DC6942" w:rsidRPr="00DC6942">
        <w:t>, Prentice-Hall, 2001.</w:t>
      </w:r>
      <w:bookmarkEnd w:id="9"/>
    </w:p>
    <w:p w:rsidR="00D76F97" w:rsidRPr="00876636" w:rsidRDefault="00D76F97" w:rsidP="00D64B4D">
      <w:pPr>
        <w:pStyle w:val="StyleReference8pt"/>
        <w:ind w:left="360"/>
        <w:jc w:val="both"/>
      </w:pPr>
      <w:bookmarkStart w:id="10" w:name="_Ref227667215"/>
      <w:r>
        <w:t>M.</w:t>
      </w:r>
      <w:r w:rsidR="00370E13">
        <w:t> </w:t>
      </w:r>
      <w:proofErr w:type="spellStart"/>
      <w:r w:rsidRPr="00D76F97">
        <w:t>Nosratighods</w:t>
      </w:r>
      <w:proofErr w:type="spellEnd"/>
      <w:r>
        <w:t>, E.</w:t>
      </w:r>
      <w:r w:rsidR="00370E13">
        <w:t> </w:t>
      </w:r>
      <w:proofErr w:type="spellStart"/>
      <w:r>
        <w:t>Ambikairajah</w:t>
      </w:r>
      <w:proofErr w:type="spellEnd"/>
      <w:r>
        <w:t>, and J.</w:t>
      </w:r>
      <w:r w:rsidR="00370E13">
        <w:t> </w:t>
      </w:r>
      <w:r>
        <w:t xml:space="preserve">Epps, “Speaker verification using a novel set of dynamic features,” </w:t>
      </w:r>
      <w:r w:rsidR="00B569B8" w:rsidRPr="00B569B8">
        <w:rPr>
          <w:i/>
        </w:rPr>
        <w:t>Proceedings of The 18th International Conference on Pattern Recognitio</w:t>
      </w:r>
      <w:r w:rsidRPr="00D76F97">
        <w:t>n</w:t>
      </w:r>
      <w:r>
        <w:t>, pp.</w:t>
      </w:r>
      <w:r w:rsidR="00D40907">
        <w:t> </w:t>
      </w:r>
      <w:r>
        <w:t xml:space="preserve">266-269, </w:t>
      </w:r>
      <w:r w:rsidR="009137DE">
        <w:t xml:space="preserve">Hong Kong, China, </w:t>
      </w:r>
      <w:r w:rsidR="00AB63BB">
        <w:t>September</w:t>
      </w:r>
      <w:r w:rsidR="00DD0F15">
        <w:t> </w:t>
      </w:r>
      <w:r w:rsidR="00AB63BB">
        <w:t>2006.</w:t>
      </w:r>
      <w:bookmarkEnd w:id="10"/>
    </w:p>
    <w:p w:rsidR="00876636" w:rsidRPr="00876636" w:rsidRDefault="00D64B4D" w:rsidP="00C11E7F">
      <w:pPr>
        <w:pStyle w:val="StyleReference8pt"/>
        <w:ind w:left="360"/>
        <w:jc w:val="both"/>
      </w:pPr>
      <w:bookmarkStart w:id="11" w:name="_Ref195687752"/>
      <w:r>
        <w:t>I. </w:t>
      </w:r>
      <w:r w:rsidR="00876636" w:rsidRPr="00876636">
        <w:t>Kokkinos</w:t>
      </w:r>
      <w:r w:rsidR="001E6967">
        <w:t>,</w:t>
      </w:r>
      <w:r w:rsidR="00876636" w:rsidRPr="00876636">
        <w:t xml:space="preserve"> and </w:t>
      </w:r>
      <w:r>
        <w:t>P. </w:t>
      </w:r>
      <w:r w:rsidR="00876636" w:rsidRPr="00876636">
        <w:t>Maragos</w:t>
      </w:r>
      <w:r w:rsidR="001E6967">
        <w:t xml:space="preserve">, </w:t>
      </w:r>
      <w:r w:rsidR="00876636" w:rsidRPr="00876636">
        <w:t>“Nonlinear Speech Analysis using Models f</w:t>
      </w:r>
      <w:r w:rsidR="001E6967">
        <w:t xml:space="preserve">or Chaotic Systems,” </w:t>
      </w:r>
      <w:r w:rsidR="001E6967" w:rsidRPr="001E6967">
        <w:rPr>
          <w:i/>
        </w:rPr>
        <w:t>IEEE Transactions on Speech and Audio Processing</w:t>
      </w:r>
      <w:r w:rsidR="001E6967">
        <w:t xml:space="preserve">, </w:t>
      </w:r>
      <w:r w:rsidR="00D40907">
        <w:t xml:space="preserve">vol. 13, no. 6, </w:t>
      </w:r>
      <w:r w:rsidR="00876636" w:rsidRPr="00876636">
        <w:t>pp.</w:t>
      </w:r>
      <w:r w:rsidR="00BF5666">
        <w:t> </w:t>
      </w:r>
      <w:r w:rsidR="00876636" w:rsidRPr="00876636">
        <w:t>10</w:t>
      </w:r>
      <w:r w:rsidR="00BF5666">
        <w:t>98-</w:t>
      </w:r>
      <w:r w:rsidR="00876636" w:rsidRPr="00876636">
        <w:t>1109, Nov</w:t>
      </w:r>
      <w:r w:rsidR="001E6967">
        <w:t>ember</w:t>
      </w:r>
      <w:r w:rsidR="00DD0F15">
        <w:t> </w:t>
      </w:r>
      <w:r w:rsidR="00876636" w:rsidRPr="00876636">
        <w:t>2005.</w:t>
      </w:r>
      <w:bookmarkEnd w:id="11"/>
    </w:p>
    <w:p w:rsidR="00876636" w:rsidRDefault="00147DC2" w:rsidP="00C11E7F">
      <w:pPr>
        <w:pStyle w:val="StyleReference8pt"/>
        <w:ind w:left="360"/>
        <w:jc w:val="both"/>
      </w:pPr>
      <w:bookmarkStart w:id="12" w:name="_Ref195687977"/>
      <w:r w:rsidRPr="00147DC2">
        <w:t>D.</w:t>
      </w:r>
      <w:r w:rsidR="00D64B4D">
        <w:t> </w:t>
      </w:r>
      <w:r w:rsidRPr="00147DC2">
        <w:t xml:space="preserve">May, </w:t>
      </w:r>
      <w:r w:rsidRPr="00147DC2">
        <w:rPr>
          <w:i/>
          <w:iCs/>
        </w:rPr>
        <w:t>Nonlinear Dynamic Invariants For Continuous Speech Recognition</w:t>
      </w:r>
      <w:r w:rsidRPr="00147DC2">
        <w:t xml:space="preserve">, M.S. Thesis, </w:t>
      </w:r>
      <w:proofErr w:type="gramStart"/>
      <w:r w:rsidRPr="00147DC2">
        <w:t>Department</w:t>
      </w:r>
      <w:proofErr w:type="gramEnd"/>
      <w:r w:rsidRPr="00147DC2">
        <w:t xml:space="preserve"> of Elect. </w:t>
      </w:r>
      <w:proofErr w:type="gramStart"/>
      <w:r w:rsidRPr="00147DC2">
        <w:t>and</w:t>
      </w:r>
      <w:proofErr w:type="gramEnd"/>
      <w:r w:rsidRPr="00147DC2">
        <w:t xml:space="preserve"> Comp. Eng., Mississippi State University, May</w:t>
      </w:r>
      <w:r w:rsidR="00DD0F15">
        <w:t> </w:t>
      </w:r>
      <w:r w:rsidRPr="00147DC2">
        <w:t>2008.</w:t>
      </w:r>
      <w:bookmarkEnd w:id="12"/>
    </w:p>
    <w:p w:rsidR="00BB1373" w:rsidRDefault="00D64B4D" w:rsidP="00C11E7F">
      <w:pPr>
        <w:pStyle w:val="StyleReference8pt"/>
        <w:ind w:left="360"/>
        <w:jc w:val="both"/>
      </w:pPr>
      <w:bookmarkStart w:id="13" w:name="_Ref227591256"/>
      <w:r>
        <w:t>S. </w:t>
      </w:r>
      <w:proofErr w:type="spellStart"/>
      <w:r>
        <w:t>Srinivasan</w:t>
      </w:r>
      <w:proofErr w:type="spellEnd"/>
      <w:r>
        <w:t>, T. Ma, D. May, G. </w:t>
      </w:r>
      <w:proofErr w:type="spellStart"/>
      <w:r>
        <w:t>Lazarou</w:t>
      </w:r>
      <w:proofErr w:type="spellEnd"/>
      <w:r>
        <w:t xml:space="preserve"> and J. </w:t>
      </w:r>
      <w:proofErr w:type="spellStart"/>
      <w:r w:rsidR="00BB1373" w:rsidRPr="00BB1373">
        <w:t>Picone</w:t>
      </w:r>
      <w:proofErr w:type="spellEnd"/>
      <w:r w:rsidR="00BB1373" w:rsidRPr="00BB1373">
        <w:t xml:space="preserve">, "Nonlinear Mixture Autoregressive Hidden Markov Models For Speech Recognition," </w:t>
      </w:r>
      <w:r w:rsidR="00BB1373" w:rsidRPr="00BB1373">
        <w:rPr>
          <w:i/>
          <w:iCs/>
        </w:rPr>
        <w:t>Proceedings of the International Conference on Spoken Language Processing</w:t>
      </w:r>
      <w:r w:rsidR="00BB1373" w:rsidRPr="00BB1373">
        <w:t>, pp.</w:t>
      </w:r>
      <w:r w:rsidR="00D40907">
        <w:t> </w:t>
      </w:r>
      <w:r w:rsidR="00BB1373" w:rsidRPr="00BB1373">
        <w:t>960-963, Brisbane, Australia, September</w:t>
      </w:r>
      <w:r w:rsidR="00DD0F15">
        <w:t> </w:t>
      </w:r>
      <w:r w:rsidR="00BB1373" w:rsidRPr="00BB1373">
        <w:t>2008.</w:t>
      </w:r>
      <w:bookmarkEnd w:id="13"/>
    </w:p>
    <w:p w:rsidR="00D80CE3" w:rsidRPr="00D80CE3" w:rsidRDefault="00F155EF" w:rsidP="00F01C18">
      <w:pPr>
        <w:pStyle w:val="StyleReference8pt"/>
        <w:ind w:left="360"/>
        <w:jc w:val="both"/>
      </w:pPr>
      <w:bookmarkStart w:id="14" w:name="_Ref227591299"/>
      <w:r>
        <w:rPr>
          <w:rFonts w:ascii="Minion-Regular" w:hAnsi="Minion-Regular" w:cs="Minion-Regular"/>
          <w:szCs w:val="18"/>
        </w:rPr>
        <w:t>M.</w:t>
      </w:r>
      <w:r w:rsidR="00D64B4D">
        <w:t> </w:t>
      </w:r>
      <w:proofErr w:type="spellStart"/>
      <w:r>
        <w:rPr>
          <w:rFonts w:ascii="Minion-Regular" w:hAnsi="Minion-Regular" w:cs="Minion-Regular"/>
          <w:szCs w:val="18"/>
        </w:rPr>
        <w:t>Zeevi</w:t>
      </w:r>
      <w:proofErr w:type="spellEnd"/>
      <w:r>
        <w:rPr>
          <w:rFonts w:ascii="Minion-Regular" w:hAnsi="Minion-Regular" w:cs="Minion-Regular"/>
          <w:szCs w:val="18"/>
        </w:rPr>
        <w:t>, R.</w:t>
      </w:r>
      <w:r w:rsidR="00D64B4D">
        <w:t> </w:t>
      </w:r>
      <w:r>
        <w:rPr>
          <w:rFonts w:ascii="Minion-Regular" w:hAnsi="Minion-Regular" w:cs="Minion-Regular"/>
          <w:szCs w:val="18"/>
        </w:rPr>
        <w:t>Meir, and R.</w:t>
      </w:r>
      <w:r w:rsidR="00D64B4D">
        <w:t> </w:t>
      </w:r>
      <w:r>
        <w:rPr>
          <w:rFonts w:ascii="Minion-Regular" w:hAnsi="Minion-Regular" w:cs="Minion-Regular"/>
          <w:szCs w:val="18"/>
        </w:rPr>
        <w:t xml:space="preserve">Adler, </w:t>
      </w:r>
      <w:r w:rsidR="002C4543">
        <w:rPr>
          <w:rFonts w:ascii="Minion-Regular" w:hAnsi="Minion-Regular" w:cs="Minion-Regular"/>
          <w:szCs w:val="18"/>
        </w:rPr>
        <w:t>“</w:t>
      </w:r>
      <w:r w:rsidRPr="002C4543">
        <w:rPr>
          <w:rFonts w:ascii="Minion-Italic" w:hAnsi="Minion-Italic" w:cs="Minion-Italic"/>
          <w:iCs/>
          <w:szCs w:val="18"/>
        </w:rPr>
        <w:t>Nonlinear models for time series using mixtures of autoregressive models</w:t>
      </w:r>
      <w:r w:rsidR="002C4543">
        <w:rPr>
          <w:rFonts w:ascii="Minion-Italic" w:hAnsi="Minion-Italic" w:cs="Minion-Italic"/>
          <w:iCs/>
          <w:szCs w:val="18"/>
        </w:rPr>
        <w:t>”</w:t>
      </w:r>
      <w:r>
        <w:rPr>
          <w:rFonts w:ascii="Minion-Regular" w:hAnsi="Minion-Regular" w:cs="Minion-Regular"/>
          <w:szCs w:val="18"/>
        </w:rPr>
        <w:t>,</w:t>
      </w:r>
    </w:p>
    <w:p w:rsidR="00D20300" w:rsidRDefault="002C4543" w:rsidP="00D20300">
      <w:pPr>
        <w:pStyle w:val="StyleReference8pt"/>
        <w:numPr>
          <w:ilvl w:val="0"/>
          <w:numId w:val="0"/>
        </w:numPr>
        <w:ind w:left="360"/>
        <w:jc w:val="both"/>
      </w:pPr>
      <w:r>
        <w:rPr>
          <w:rFonts w:ascii="Minion-Regular" w:hAnsi="Minion-Regular" w:cs="Minion-Regular"/>
          <w:szCs w:val="18"/>
        </w:rPr>
        <w:t xml:space="preserve">Unpublished Technical Report, </w:t>
      </w:r>
      <w:r w:rsidR="00F155EF">
        <w:rPr>
          <w:rFonts w:ascii="Minion-Regular" w:hAnsi="Minion-Regular" w:cs="Minion-Regular"/>
          <w:szCs w:val="18"/>
        </w:rPr>
        <w:t xml:space="preserve">1999, </w:t>
      </w:r>
      <w:r w:rsidRPr="00510204">
        <w:rPr>
          <w:rFonts w:ascii="Minion-Regular" w:hAnsi="Minion-Regular" w:cs="Minion-Regular"/>
          <w:szCs w:val="18"/>
        </w:rPr>
        <w:t>http://ie.technion.ac.il/~radler/mixar.pdf</w:t>
      </w:r>
      <w:bookmarkStart w:id="15" w:name="_Ref195688332"/>
      <w:bookmarkEnd w:id="14"/>
    </w:p>
    <w:p w:rsidR="00F01C18" w:rsidRPr="00876636" w:rsidRDefault="008769B3" w:rsidP="00F01C18">
      <w:pPr>
        <w:pStyle w:val="StyleReference8pt"/>
        <w:ind w:left="360"/>
        <w:jc w:val="both"/>
      </w:pPr>
      <w:bookmarkStart w:id="16" w:name="_Ref195688609"/>
      <w:r>
        <w:t>B. H. </w:t>
      </w:r>
      <w:proofErr w:type="spellStart"/>
      <w:r w:rsidR="00C76851" w:rsidRPr="00876636">
        <w:t>Juang</w:t>
      </w:r>
      <w:proofErr w:type="spellEnd"/>
      <w:r w:rsidR="00C76851">
        <w:t>,</w:t>
      </w:r>
      <w:r>
        <w:t xml:space="preserve"> </w:t>
      </w:r>
      <w:r w:rsidR="00C76851" w:rsidRPr="00876636">
        <w:t>and</w:t>
      </w:r>
      <w:r w:rsidR="00C76851">
        <w:t xml:space="preserve"> </w:t>
      </w:r>
      <w:r>
        <w:t>L. R. </w:t>
      </w:r>
      <w:proofErr w:type="spellStart"/>
      <w:r w:rsidR="00C76851" w:rsidRPr="00876636">
        <w:t>Rabiner</w:t>
      </w:r>
      <w:proofErr w:type="spellEnd"/>
      <w:r>
        <w:t>,</w:t>
      </w:r>
      <w:r w:rsidR="00C76851">
        <w:t xml:space="preserve"> </w:t>
      </w:r>
      <w:r w:rsidR="00C76851" w:rsidRPr="00876636">
        <w:t xml:space="preserve">“Mixture Autoregressive Hidden Markov Models for Speech Signals,” </w:t>
      </w:r>
      <w:r w:rsidR="00C76851" w:rsidRPr="00295898">
        <w:rPr>
          <w:i/>
        </w:rPr>
        <w:t>IEEE Transactions on Acoustics, Speech and Signal Processing</w:t>
      </w:r>
      <w:r w:rsidR="00C76851" w:rsidRPr="00876636">
        <w:t>, vol.</w:t>
      </w:r>
      <w:r w:rsidR="00C76851">
        <w:t> </w:t>
      </w:r>
      <w:r w:rsidR="00C76851" w:rsidRPr="00876636">
        <w:t>33, no.</w:t>
      </w:r>
      <w:r w:rsidR="00D40907">
        <w:t> </w:t>
      </w:r>
      <w:r w:rsidR="00C76851" w:rsidRPr="00876636">
        <w:t xml:space="preserve">6, </w:t>
      </w:r>
      <w:r w:rsidR="00C76851">
        <w:t>pp. 1404-1413, December</w:t>
      </w:r>
      <w:r w:rsidR="00DD0F15">
        <w:t> </w:t>
      </w:r>
      <w:r w:rsidR="00C76851" w:rsidRPr="00876636">
        <w:t>1985.</w:t>
      </w:r>
      <w:bookmarkEnd w:id="15"/>
      <w:bookmarkEnd w:id="16"/>
    </w:p>
    <w:p w:rsidR="00F01C18" w:rsidRDefault="008769B3" w:rsidP="00865C75">
      <w:pPr>
        <w:pStyle w:val="StyleReference8pt"/>
        <w:ind w:left="360"/>
        <w:jc w:val="both"/>
      </w:pPr>
      <w:bookmarkStart w:id="17" w:name="_Ref195688649"/>
      <w:r>
        <w:t>Y. </w:t>
      </w:r>
      <w:r w:rsidR="00C76851" w:rsidRPr="00876636">
        <w:t>Ephraim</w:t>
      </w:r>
      <w:r>
        <w:t>,</w:t>
      </w:r>
      <w:r w:rsidR="00C76851" w:rsidRPr="00876636">
        <w:t xml:space="preserve"> and </w:t>
      </w:r>
      <w:r>
        <w:t>W. J. </w:t>
      </w:r>
      <w:r w:rsidR="00C76851" w:rsidRPr="00876636">
        <w:t>Roberts,</w:t>
      </w:r>
      <w:r w:rsidR="00C76851" w:rsidRPr="005C512A">
        <w:t xml:space="preserve"> “Revisiting Autoregressive Hidden Markov Modeling of Speech Signals,” </w:t>
      </w:r>
      <w:r w:rsidR="00C76851" w:rsidRPr="00C811C3">
        <w:rPr>
          <w:i/>
        </w:rPr>
        <w:t>IEEE Signal Processing Letters</w:t>
      </w:r>
      <w:r w:rsidR="00C76851" w:rsidRPr="00876636">
        <w:t>, vol.</w:t>
      </w:r>
      <w:r w:rsidR="00C76851">
        <w:t> </w:t>
      </w:r>
      <w:r w:rsidR="00C76851" w:rsidRPr="00876636">
        <w:t>12, no.</w:t>
      </w:r>
      <w:r w:rsidR="00C76851">
        <w:t> </w:t>
      </w:r>
      <w:r w:rsidR="00C76851" w:rsidRPr="00876636">
        <w:t xml:space="preserve">2, </w:t>
      </w:r>
      <w:r w:rsidR="00C76851" w:rsidRPr="002B75F3">
        <w:t>pp.</w:t>
      </w:r>
      <w:r w:rsidR="00C76851">
        <w:t> </w:t>
      </w:r>
      <w:r w:rsidR="00C76851" w:rsidRPr="002B75F3">
        <w:t>166</w:t>
      </w:r>
      <w:r w:rsidR="00C76851">
        <w:t>-</w:t>
      </w:r>
      <w:r w:rsidR="00C76851" w:rsidRPr="002B75F3">
        <w:t>169</w:t>
      </w:r>
      <w:r w:rsidR="00C76851">
        <w:t xml:space="preserve">, </w:t>
      </w:r>
      <w:r w:rsidR="00C76851" w:rsidRPr="00876636">
        <w:t>Feb</w:t>
      </w:r>
      <w:r w:rsidR="00C76851">
        <w:t>ruary</w:t>
      </w:r>
      <w:r w:rsidR="00DD0F15">
        <w:t> </w:t>
      </w:r>
      <w:r w:rsidR="00C76851" w:rsidRPr="00876636">
        <w:t>2005.</w:t>
      </w:r>
      <w:bookmarkEnd w:id="17"/>
    </w:p>
    <w:p w:rsidR="00171250" w:rsidRDefault="00171250" w:rsidP="00865C75">
      <w:pPr>
        <w:pStyle w:val="StyleReference8pt"/>
        <w:ind w:left="360"/>
        <w:jc w:val="both"/>
      </w:pPr>
      <w:bookmarkStart w:id="18" w:name="_Ref227670776"/>
      <w:r>
        <w:t>M.</w:t>
      </w:r>
      <w:r w:rsidR="00FB31FC">
        <w:t> </w:t>
      </w:r>
      <w:r>
        <w:t>E.</w:t>
      </w:r>
      <w:r w:rsidR="00FB31FC">
        <w:t> </w:t>
      </w:r>
      <w:proofErr w:type="spellStart"/>
      <w:r>
        <w:t>Ayadi</w:t>
      </w:r>
      <w:proofErr w:type="spellEnd"/>
      <w:r>
        <w:t xml:space="preserve">, </w:t>
      </w:r>
      <w:r w:rsidR="00B569B8" w:rsidRPr="00B569B8">
        <w:rPr>
          <w:i/>
        </w:rPr>
        <w:t>Autoregressive models for text independent speaker identification in noisy environments</w:t>
      </w:r>
      <w:r>
        <w:t>, PhD</w:t>
      </w:r>
      <w:r w:rsidRPr="00147DC2">
        <w:t xml:space="preserve"> Thesis, Department of Elect. </w:t>
      </w:r>
      <w:proofErr w:type="gramStart"/>
      <w:r w:rsidRPr="00147DC2">
        <w:t>and</w:t>
      </w:r>
      <w:proofErr w:type="gramEnd"/>
      <w:r w:rsidRPr="00147DC2">
        <w:t xml:space="preserve"> Comp. Eng., </w:t>
      </w:r>
      <w:r w:rsidR="00B569B8" w:rsidRPr="00B569B8">
        <w:rPr>
          <w:bCs/>
        </w:rPr>
        <w:t>University of Waterloo</w:t>
      </w:r>
      <w:r w:rsidRPr="00171250">
        <w:rPr>
          <w:bCs/>
        </w:rPr>
        <w:t>,</w:t>
      </w:r>
      <w:r>
        <w:rPr>
          <w:bCs/>
        </w:rPr>
        <w:t xml:space="preserve"> September</w:t>
      </w:r>
      <w:r w:rsidR="00DD0F15">
        <w:t> </w:t>
      </w:r>
      <w:r w:rsidRPr="00147DC2">
        <w:t>2008</w:t>
      </w:r>
      <w:r>
        <w:t>.</w:t>
      </w:r>
      <w:bookmarkEnd w:id="18"/>
    </w:p>
    <w:p w:rsidR="00B354F0" w:rsidRDefault="008769B3" w:rsidP="00D64B4D">
      <w:pPr>
        <w:pStyle w:val="StyleReference8pt"/>
        <w:ind w:left="360"/>
        <w:jc w:val="both"/>
      </w:pPr>
      <w:bookmarkStart w:id="19" w:name="_Ref195688560"/>
      <w:r>
        <w:t>C. S. </w:t>
      </w:r>
      <w:r w:rsidR="00F01C18" w:rsidRPr="00876636">
        <w:t>Wong,</w:t>
      </w:r>
      <w:r>
        <w:t xml:space="preserve"> </w:t>
      </w:r>
      <w:r w:rsidR="00F01C18" w:rsidRPr="005C512A">
        <w:t xml:space="preserve">and </w:t>
      </w:r>
      <w:r>
        <w:t>W. K. </w:t>
      </w:r>
      <w:r w:rsidR="00F01C18" w:rsidRPr="005C512A">
        <w:t>Li, “On a Mixture Autoregressive Model,”</w:t>
      </w:r>
      <w:r w:rsidR="00F01C18" w:rsidRPr="00C811C3">
        <w:rPr>
          <w:i/>
        </w:rPr>
        <w:t xml:space="preserve"> Journal of the Royal Statistical Society</w:t>
      </w:r>
      <w:r w:rsidR="00F01C18" w:rsidRPr="00876636">
        <w:t>, vol.</w:t>
      </w:r>
      <w:r w:rsidR="00F01C18">
        <w:t> </w:t>
      </w:r>
      <w:r w:rsidR="00F01C18" w:rsidRPr="00876636">
        <w:t xml:space="preserve">62, </w:t>
      </w:r>
      <w:r w:rsidR="00F01C18">
        <w:t xml:space="preserve">no. 1, </w:t>
      </w:r>
      <w:r w:rsidR="00F01C18" w:rsidRPr="00876636">
        <w:t>pp.</w:t>
      </w:r>
      <w:r w:rsidR="00DD0F15">
        <w:t> </w:t>
      </w:r>
      <w:r w:rsidR="00F01C18" w:rsidRPr="00876636">
        <w:t>95</w:t>
      </w:r>
      <w:r w:rsidR="00F01C18">
        <w:noBreakHyphen/>
      </w:r>
      <w:r w:rsidR="00F01C18" w:rsidRPr="00876636">
        <w:t xml:space="preserve">115, </w:t>
      </w:r>
      <w:r w:rsidR="00F01C18">
        <w:t>February </w:t>
      </w:r>
      <w:r w:rsidR="00F01C18" w:rsidRPr="00876636">
        <w:t>2000.</w:t>
      </w:r>
      <w:bookmarkEnd w:id="19"/>
    </w:p>
    <w:p w:rsidR="00520D8D" w:rsidRPr="00876636" w:rsidRDefault="001C681C" w:rsidP="00B354F0">
      <w:pPr>
        <w:pStyle w:val="StyleReference8pt"/>
        <w:ind w:left="360"/>
        <w:jc w:val="both"/>
      </w:pPr>
      <w:bookmarkStart w:id="20" w:name="_Ref227592330"/>
      <w:r>
        <w:t>A. X. </w:t>
      </w:r>
      <w:proofErr w:type="spellStart"/>
      <w:r>
        <w:t>Carvalho</w:t>
      </w:r>
      <w:proofErr w:type="spellEnd"/>
      <w:r>
        <w:t xml:space="preserve"> and M. A Tanner, </w:t>
      </w:r>
      <w:r w:rsidR="00990106">
        <w:t>“</w:t>
      </w:r>
      <w:r w:rsidRPr="001C681C">
        <w:t xml:space="preserve">Modeling nonlinearities with mixtures-of-experts of time series models,” </w:t>
      </w:r>
      <w:r w:rsidRPr="00B354F0">
        <w:rPr>
          <w:i/>
          <w:iCs/>
        </w:rPr>
        <w:t>International Journal of Mathematics and Mathematical Sciences</w:t>
      </w:r>
      <w:r>
        <w:t xml:space="preserve">, vol. 2006, </w:t>
      </w:r>
      <w:r w:rsidR="00D570C4">
        <w:t>no.</w:t>
      </w:r>
      <w:r w:rsidR="00D570C4" w:rsidRPr="005C512A">
        <w:t> </w:t>
      </w:r>
      <w:r w:rsidR="00D570C4">
        <w:t xml:space="preserve">9, </w:t>
      </w:r>
      <w:r w:rsidR="00DD0F15">
        <w:t>pp.</w:t>
      </w:r>
      <w:r w:rsidR="00DD0F15" w:rsidRPr="005C512A">
        <w:t> </w:t>
      </w:r>
      <w:r w:rsidR="00DD0F15">
        <w:t>1-22</w:t>
      </w:r>
      <w:r>
        <w:t xml:space="preserve">, </w:t>
      </w:r>
      <w:r w:rsidR="00D570C4">
        <w:t>May</w:t>
      </w:r>
      <w:r w:rsidR="00D570C4" w:rsidRPr="005C512A">
        <w:t> </w:t>
      </w:r>
      <w:r>
        <w:t>2006.</w:t>
      </w:r>
      <w:bookmarkEnd w:id="20"/>
    </w:p>
    <w:p w:rsidR="00181490" w:rsidRDefault="00520D8D">
      <w:pPr>
        <w:pStyle w:val="StyleReference8pt"/>
        <w:ind w:left="360"/>
        <w:jc w:val="both"/>
      </w:pPr>
      <w:bookmarkStart w:id="21" w:name="_Ref227683423"/>
      <w:bookmarkStart w:id="22" w:name="_Ref227683520"/>
      <w:bookmarkStart w:id="23" w:name="_Ref195722178"/>
      <w:r>
        <w:t xml:space="preserve">National Institute of Standards and Technology, </w:t>
      </w:r>
    </w:p>
    <w:p w:rsidR="00D20300" w:rsidRDefault="00520D8D" w:rsidP="00D20300">
      <w:pPr>
        <w:pStyle w:val="StyleReference8pt"/>
        <w:numPr>
          <w:ilvl w:val="0"/>
          <w:numId w:val="0"/>
        </w:numPr>
        <w:ind w:left="360"/>
        <w:jc w:val="both"/>
      </w:pPr>
      <w:r>
        <w:t>“The</w:t>
      </w:r>
      <w:bookmarkEnd w:id="21"/>
      <w:r w:rsidR="0053153D">
        <w:t xml:space="preserve"> </w:t>
      </w:r>
      <w:r>
        <w:t xml:space="preserve">2001 NIST Speaker Recognition Evaluation,” </w:t>
      </w:r>
      <w:r w:rsidRPr="00012F36">
        <w:t>http://www.nist.gov/speech/tests/spk/2001</w:t>
      </w:r>
      <w:r>
        <w:t>, 2001.</w:t>
      </w:r>
      <w:bookmarkEnd w:id="22"/>
    </w:p>
    <w:p w:rsidR="002D19E6" w:rsidRDefault="00520D8D" w:rsidP="003B7F1B">
      <w:pPr>
        <w:pStyle w:val="StyleReference8pt"/>
        <w:ind w:left="360"/>
        <w:jc w:val="both"/>
      </w:pPr>
      <w:r>
        <w:rPr>
          <w:szCs w:val="16"/>
        </w:rPr>
        <w:t>A</w:t>
      </w:r>
      <w:r w:rsidR="008769B3">
        <w:rPr>
          <w:szCs w:val="16"/>
        </w:rPr>
        <w:t>.</w:t>
      </w:r>
      <w:r w:rsidR="008769B3">
        <w:t> </w:t>
      </w:r>
      <w:proofErr w:type="spellStart"/>
      <w:r w:rsidR="00876636" w:rsidRPr="00876636">
        <w:rPr>
          <w:szCs w:val="16"/>
        </w:rPr>
        <w:t>Dempster</w:t>
      </w:r>
      <w:proofErr w:type="spellEnd"/>
      <w:r w:rsidR="00876636" w:rsidRPr="00876636">
        <w:rPr>
          <w:szCs w:val="16"/>
        </w:rPr>
        <w:t>,</w:t>
      </w:r>
      <w:r w:rsidR="00C811C3">
        <w:rPr>
          <w:szCs w:val="16"/>
        </w:rPr>
        <w:t xml:space="preserve"> </w:t>
      </w:r>
      <w:r w:rsidR="008769B3">
        <w:rPr>
          <w:szCs w:val="16"/>
        </w:rPr>
        <w:t>N.</w:t>
      </w:r>
      <w:r w:rsidR="008769B3">
        <w:t> </w:t>
      </w:r>
      <w:r w:rsidR="00876636" w:rsidRPr="00876636">
        <w:rPr>
          <w:szCs w:val="16"/>
        </w:rPr>
        <w:t>Laird,</w:t>
      </w:r>
      <w:r w:rsidR="00C811C3">
        <w:rPr>
          <w:szCs w:val="16"/>
        </w:rPr>
        <w:t xml:space="preserve"> </w:t>
      </w:r>
      <w:r w:rsidR="00876636" w:rsidRPr="00876636">
        <w:rPr>
          <w:szCs w:val="16"/>
        </w:rPr>
        <w:t xml:space="preserve">and </w:t>
      </w:r>
      <w:r w:rsidR="008769B3">
        <w:rPr>
          <w:szCs w:val="16"/>
        </w:rPr>
        <w:t>D.</w:t>
      </w:r>
      <w:r w:rsidR="008769B3">
        <w:t> </w:t>
      </w:r>
      <w:r w:rsidR="00876636" w:rsidRPr="00876636">
        <w:rPr>
          <w:szCs w:val="16"/>
        </w:rPr>
        <w:t>Rubin</w:t>
      </w:r>
      <w:r w:rsidR="00C811C3">
        <w:rPr>
          <w:szCs w:val="16"/>
        </w:rPr>
        <w:t>, “Maximum Likelihood From Incomplete Data Via the EM A</w:t>
      </w:r>
      <w:r w:rsidR="00876636" w:rsidRPr="00876636">
        <w:rPr>
          <w:szCs w:val="16"/>
        </w:rPr>
        <w:t>lgorithm</w:t>
      </w:r>
      <w:r w:rsidR="00E1616B">
        <w:rPr>
          <w:szCs w:val="16"/>
        </w:rPr>
        <w:t>,</w:t>
      </w:r>
      <w:r w:rsidR="00876636" w:rsidRPr="00876636">
        <w:rPr>
          <w:szCs w:val="16"/>
        </w:rPr>
        <w:t>"</w:t>
      </w:r>
      <w:r w:rsidR="00E1616B">
        <w:rPr>
          <w:szCs w:val="16"/>
        </w:rPr>
        <w:t xml:space="preserve"> </w:t>
      </w:r>
      <w:r w:rsidR="00E1616B" w:rsidRPr="00E1616B">
        <w:rPr>
          <w:i/>
          <w:szCs w:val="16"/>
        </w:rPr>
        <w:t>Journal of the Royal Statistical Society, Series B</w:t>
      </w:r>
      <w:r w:rsidR="00E1616B" w:rsidRPr="005C512A">
        <w:t xml:space="preserve">, </w:t>
      </w:r>
      <w:r w:rsidR="00876636" w:rsidRPr="005C512A">
        <w:t>vol. 39</w:t>
      </w:r>
      <w:r w:rsidR="00E1616B" w:rsidRPr="005C512A">
        <w:t>, no. 1</w:t>
      </w:r>
      <w:r w:rsidR="00876636" w:rsidRPr="005C512A">
        <w:t xml:space="preserve">, pp. 1-38, </w:t>
      </w:r>
      <w:r w:rsidR="00E1616B" w:rsidRPr="005C512A">
        <w:t>February </w:t>
      </w:r>
      <w:r w:rsidR="00876636" w:rsidRPr="005C512A">
        <w:t>1977.</w:t>
      </w:r>
      <w:bookmarkEnd w:id="23"/>
    </w:p>
    <w:sectPr w:rsidR="002D19E6" w:rsidSect="003112A5">
      <w:headerReference w:type="even" r:id="rId39"/>
      <w:footnotePr>
        <w:numRestart w:val="eachPage"/>
      </w:footnotePr>
      <w:type w:val="continuous"/>
      <w:pgSz w:w="11907" w:h="16840" w:code="9"/>
      <w:pgMar w:top="1440" w:right="1281" w:bottom="1440" w:left="1077" w:header="0" w:footer="0" w:gutter="0"/>
      <w:cols w:num="2" w:space="54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33E8" w:rsidRDefault="00B033E8">
      <w:r>
        <w:separator/>
      </w:r>
    </w:p>
    <w:p w:rsidR="00B033E8" w:rsidRDefault="00B033E8"/>
  </w:endnote>
  <w:endnote w:type="continuationSeparator" w:id="1">
    <w:p w:rsidR="00B033E8" w:rsidRDefault="00B033E8">
      <w:r>
        <w:continuationSeparator/>
      </w:r>
    </w:p>
    <w:p w:rsidR="00B033E8" w:rsidRDefault="00B033E8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Nimbus Roman No9 L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LGC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Minion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-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34F" w:rsidRDefault="00D83D12">
    <w:pPr>
      <w:pStyle w:val="Footer"/>
      <w:framePr w:wrap="around" w:vAnchor="text" w:hAnchor="margin" w:xAlign="center" w:y="1"/>
    </w:pPr>
    <w:fldSimple w:instr="PAGE  ">
      <w:r w:rsidR="0087534F">
        <w:rPr>
          <w:noProof/>
        </w:rPr>
        <w:t>1</w:t>
      </w:r>
    </w:fldSimple>
  </w:p>
  <w:p w:rsidR="0087534F" w:rsidRDefault="0087534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33E8" w:rsidRDefault="00B033E8">
      <w:r>
        <w:separator/>
      </w:r>
    </w:p>
    <w:p w:rsidR="00B033E8" w:rsidRDefault="00B033E8"/>
  </w:footnote>
  <w:footnote w:type="continuationSeparator" w:id="1">
    <w:p w:rsidR="00B033E8" w:rsidRDefault="00B033E8">
      <w:r>
        <w:continuationSeparator/>
      </w:r>
    </w:p>
    <w:p w:rsidR="00B033E8" w:rsidRDefault="00B033E8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34F" w:rsidRDefault="0087534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482CD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762E67B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80"/>
    <w:multiLevelType w:val="singleLevel"/>
    <w:tmpl w:val="E392F32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3">
    <w:nsid w:val="FFFFFF81"/>
    <w:multiLevelType w:val="singleLevel"/>
    <w:tmpl w:val="7F72DC0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28BC426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2138C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>
    <w:nsid w:val="FFFFFF89"/>
    <w:multiLevelType w:val="singleLevel"/>
    <w:tmpl w:val="57F600E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FFFFFFFB"/>
    <w:multiLevelType w:val="multilevel"/>
    <w:tmpl w:val="7212ABB4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28" w:hanging="28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8">
    <w:nsid w:val="00000003"/>
    <w:multiLevelType w:val="singleLevel"/>
    <w:tmpl w:val="1AACA0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1887957"/>
    <w:multiLevelType w:val="hybridMultilevel"/>
    <w:tmpl w:val="DBD4DFA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03AE60F7"/>
    <w:multiLevelType w:val="hybridMultilevel"/>
    <w:tmpl w:val="612C6A1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06C43D7A"/>
    <w:multiLevelType w:val="hybridMultilevel"/>
    <w:tmpl w:val="635C3EC0"/>
    <w:lvl w:ilvl="0" w:tplc="040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2">
    <w:nsid w:val="0E254D35"/>
    <w:multiLevelType w:val="multilevel"/>
    <w:tmpl w:val="CA386200"/>
    <w:lvl w:ilvl="0">
      <w:start w:val="1"/>
      <w:numFmt w:val="decimal"/>
      <w:suff w:val="nothing"/>
      <w:lvlText w:val="(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21602581"/>
    <w:multiLevelType w:val="hybridMultilevel"/>
    <w:tmpl w:val="C73CDF9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93223B8"/>
    <w:multiLevelType w:val="hybridMultilevel"/>
    <w:tmpl w:val="10AC1852"/>
    <w:lvl w:ilvl="0" w:tplc="C90EC1B2">
      <w:start w:val="1"/>
      <w:numFmt w:val="decimal"/>
      <w:pStyle w:val="StyleReference8pt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E90B69"/>
    <w:multiLevelType w:val="multilevel"/>
    <w:tmpl w:val="BEE4BE74"/>
    <w:lvl w:ilvl="0">
      <w:start w:val="1"/>
      <w:numFmt w:val="decimal"/>
      <w:lvlText w:val="(%1)"/>
      <w:lvlJc w:val="righ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33307B1F"/>
    <w:multiLevelType w:val="singleLevel"/>
    <w:tmpl w:val="D85E42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41DB3092"/>
    <w:multiLevelType w:val="hybridMultilevel"/>
    <w:tmpl w:val="24C031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5275C0D"/>
    <w:multiLevelType w:val="singleLevel"/>
    <w:tmpl w:val="D838826C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19">
    <w:nsid w:val="72655AF6"/>
    <w:multiLevelType w:val="hybridMultilevel"/>
    <w:tmpl w:val="3DDA23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16"/>
  </w:num>
  <w:num w:numId="4">
    <w:abstractNumId w:val="8"/>
  </w:num>
  <w:num w:numId="5">
    <w:abstractNumId w:val="9"/>
  </w:num>
  <w:num w:numId="6">
    <w:abstractNumId w:val="13"/>
  </w:num>
  <w:num w:numId="7">
    <w:abstractNumId w:val="5"/>
  </w:num>
  <w:num w:numId="8">
    <w:abstractNumId w:val="6"/>
  </w:num>
  <w:num w:numId="9">
    <w:abstractNumId w:val="19"/>
  </w:num>
  <w:num w:numId="10">
    <w:abstractNumId w:val="11"/>
  </w:num>
  <w:num w:numId="11">
    <w:abstractNumId w:val="10"/>
  </w:num>
  <w:num w:numId="12">
    <w:abstractNumId w:val="17"/>
  </w:num>
  <w:num w:numId="13">
    <w:abstractNumId w:val="4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12"/>
  </w:num>
  <w:num w:numId="21">
    <w:abstractNumId w:val="7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stylePaneFormatFilter w:val="3F01"/>
  <w:trackRevision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Restart w:val="eachPage"/>
    <w:footnote w:id="0"/>
    <w:footnote w:id="1"/>
  </w:footnotePr>
  <w:endnotePr>
    <w:endnote w:id="0"/>
    <w:endnote w:id="1"/>
  </w:endnotePr>
  <w:compat/>
  <w:docVars>
    <w:docVar w:name="EN.InstantFormat" w:val="&lt;ENInstantFormat&gt;&lt;Enabled&gt;0&lt;/Enabled&gt;&lt;ScanUnformatted&gt;1&lt;/ScanUnformatted&gt;&lt;ScanChanges&gt;1&lt;/ScanChanges&gt;&lt;/ENInstantFormat&gt;"/>
    <w:docVar w:name="EN.Layout" w:val="&lt;ENLayout&gt;&lt;Style&gt;Numbered&lt;/Style&gt;&lt;LeftDelim&gt;{&lt;/LeftDelim&gt;&lt;RightDelim&gt;}&lt;/RightDelim&gt;&lt;FontName&gt;Times New Roman&lt;/FontName&gt;&lt;FontSize&gt;9&lt;/FontSize&gt;&lt;ReflistTitle&gt;&lt;/ReflistTitle&gt;&lt;StartingRefnum&gt;1&lt;/StartingRefnum&gt;&lt;FirstLineIndent&gt;0&lt;/FirstLineIndent&gt;&lt;HangingIndent&gt;360&lt;/HangingIndent&gt;&lt;LineSpacing&gt;0&lt;/LineSpacing&gt;&lt;SpaceAfter&gt;0&lt;/SpaceAfter&gt;&lt;/ENLayout&gt;"/>
    <w:docVar w:name="EN.Libraries" w:val="&lt;ENLibraries&gt;&lt;Libraries&gt;&lt;item&gt;SLU.enl&lt;/item&gt;&lt;/Libraries&gt;&lt;/ENLibraries&gt;"/>
  </w:docVars>
  <w:rsids>
    <w:rsidRoot w:val="00EE28EB"/>
    <w:rsid w:val="000015BF"/>
    <w:rsid w:val="00002920"/>
    <w:rsid w:val="00012F36"/>
    <w:rsid w:val="00027D02"/>
    <w:rsid w:val="00030832"/>
    <w:rsid w:val="00036488"/>
    <w:rsid w:val="000473E7"/>
    <w:rsid w:val="0005036B"/>
    <w:rsid w:val="00051018"/>
    <w:rsid w:val="00051E8C"/>
    <w:rsid w:val="0005219D"/>
    <w:rsid w:val="000538AE"/>
    <w:rsid w:val="00057C35"/>
    <w:rsid w:val="00057F3A"/>
    <w:rsid w:val="00063CB3"/>
    <w:rsid w:val="00074013"/>
    <w:rsid w:val="0007470F"/>
    <w:rsid w:val="00077CA1"/>
    <w:rsid w:val="0008217D"/>
    <w:rsid w:val="00082548"/>
    <w:rsid w:val="000914D1"/>
    <w:rsid w:val="000C3A2A"/>
    <w:rsid w:val="000E02A1"/>
    <w:rsid w:val="000E10EF"/>
    <w:rsid w:val="000F1E43"/>
    <w:rsid w:val="000F7003"/>
    <w:rsid w:val="00112053"/>
    <w:rsid w:val="00117DF2"/>
    <w:rsid w:val="00121793"/>
    <w:rsid w:val="00121D25"/>
    <w:rsid w:val="00126C87"/>
    <w:rsid w:val="00142791"/>
    <w:rsid w:val="00147DC2"/>
    <w:rsid w:val="001503D0"/>
    <w:rsid w:val="0015138C"/>
    <w:rsid w:val="0015439D"/>
    <w:rsid w:val="00163499"/>
    <w:rsid w:val="00163DFC"/>
    <w:rsid w:val="00171250"/>
    <w:rsid w:val="00172721"/>
    <w:rsid w:val="001759E3"/>
    <w:rsid w:val="001779DF"/>
    <w:rsid w:val="00181490"/>
    <w:rsid w:val="00182075"/>
    <w:rsid w:val="00186B0F"/>
    <w:rsid w:val="001931BA"/>
    <w:rsid w:val="00197344"/>
    <w:rsid w:val="001A2FCA"/>
    <w:rsid w:val="001A3E6A"/>
    <w:rsid w:val="001A7153"/>
    <w:rsid w:val="001B20DE"/>
    <w:rsid w:val="001C1A3E"/>
    <w:rsid w:val="001C681C"/>
    <w:rsid w:val="001D69DF"/>
    <w:rsid w:val="001E34FB"/>
    <w:rsid w:val="001E6967"/>
    <w:rsid w:val="001F0D8A"/>
    <w:rsid w:val="001F1062"/>
    <w:rsid w:val="001F5B6F"/>
    <w:rsid w:val="001F77FA"/>
    <w:rsid w:val="00210E0D"/>
    <w:rsid w:val="00213CD7"/>
    <w:rsid w:val="002208D3"/>
    <w:rsid w:val="0022791C"/>
    <w:rsid w:val="00227D07"/>
    <w:rsid w:val="00231591"/>
    <w:rsid w:val="00237710"/>
    <w:rsid w:val="002405FB"/>
    <w:rsid w:val="002543A0"/>
    <w:rsid w:val="002554DB"/>
    <w:rsid w:val="002728B4"/>
    <w:rsid w:val="00272CAF"/>
    <w:rsid w:val="00273FA9"/>
    <w:rsid w:val="00277CED"/>
    <w:rsid w:val="00281EF5"/>
    <w:rsid w:val="00282A1A"/>
    <w:rsid w:val="002836CC"/>
    <w:rsid w:val="002850B3"/>
    <w:rsid w:val="00291BE7"/>
    <w:rsid w:val="0029582D"/>
    <w:rsid w:val="00295898"/>
    <w:rsid w:val="002977AA"/>
    <w:rsid w:val="002B2CCA"/>
    <w:rsid w:val="002B3237"/>
    <w:rsid w:val="002B46BC"/>
    <w:rsid w:val="002B75F3"/>
    <w:rsid w:val="002B7949"/>
    <w:rsid w:val="002C4543"/>
    <w:rsid w:val="002D19E6"/>
    <w:rsid w:val="002E0F03"/>
    <w:rsid w:val="002E2D23"/>
    <w:rsid w:val="002E4726"/>
    <w:rsid w:val="002F11E6"/>
    <w:rsid w:val="002F1BDB"/>
    <w:rsid w:val="002F27E6"/>
    <w:rsid w:val="003008FF"/>
    <w:rsid w:val="0030114A"/>
    <w:rsid w:val="00303266"/>
    <w:rsid w:val="003112A5"/>
    <w:rsid w:val="00325F47"/>
    <w:rsid w:val="00332AE2"/>
    <w:rsid w:val="003330BE"/>
    <w:rsid w:val="00362A36"/>
    <w:rsid w:val="00370E13"/>
    <w:rsid w:val="00376002"/>
    <w:rsid w:val="00377012"/>
    <w:rsid w:val="0038324B"/>
    <w:rsid w:val="003838F7"/>
    <w:rsid w:val="00390EA1"/>
    <w:rsid w:val="003950C6"/>
    <w:rsid w:val="00395116"/>
    <w:rsid w:val="003B3D5B"/>
    <w:rsid w:val="003B7F1B"/>
    <w:rsid w:val="003C5B54"/>
    <w:rsid w:val="003D1A9C"/>
    <w:rsid w:val="003D3D40"/>
    <w:rsid w:val="003D76C8"/>
    <w:rsid w:val="003E1ACB"/>
    <w:rsid w:val="003E2B85"/>
    <w:rsid w:val="003F78B7"/>
    <w:rsid w:val="003F7AA1"/>
    <w:rsid w:val="00402E98"/>
    <w:rsid w:val="00403A01"/>
    <w:rsid w:val="00405263"/>
    <w:rsid w:val="0041210A"/>
    <w:rsid w:val="00422DD7"/>
    <w:rsid w:val="004234DF"/>
    <w:rsid w:val="00430071"/>
    <w:rsid w:val="004317F8"/>
    <w:rsid w:val="00442F85"/>
    <w:rsid w:val="004505F6"/>
    <w:rsid w:val="00450CCE"/>
    <w:rsid w:val="00454471"/>
    <w:rsid w:val="00470432"/>
    <w:rsid w:val="00480E18"/>
    <w:rsid w:val="0049354B"/>
    <w:rsid w:val="0049774B"/>
    <w:rsid w:val="004C2327"/>
    <w:rsid w:val="004D5BC7"/>
    <w:rsid w:val="004E298F"/>
    <w:rsid w:val="00510204"/>
    <w:rsid w:val="0051280E"/>
    <w:rsid w:val="00515498"/>
    <w:rsid w:val="00520D8D"/>
    <w:rsid w:val="00524836"/>
    <w:rsid w:val="00526369"/>
    <w:rsid w:val="0053153D"/>
    <w:rsid w:val="0053574D"/>
    <w:rsid w:val="00552149"/>
    <w:rsid w:val="005539FB"/>
    <w:rsid w:val="00554156"/>
    <w:rsid w:val="005545FC"/>
    <w:rsid w:val="00562E5C"/>
    <w:rsid w:val="0056568F"/>
    <w:rsid w:val="00580703"/>
    <w:rsid w:val="005816DD"/>
    <w:rsid w:val="005A0F32"/>
    <w:rsid w:val="005B1C8B"/>
    <w:rsid w:val="005B67EE"/>
    <w:rsid w:val="005C170D"/>
    <w:rsid w:val="005C512A"/>
    <w:rsid w:val="005C54CE"/>
    <w:rsid w:val="005C6E74"/>
    <w:rsid w:val="005D6AF2"/>
    <w:rsid w:val="005E03A8"/>
    <w:rsid w:val="005E6645"/>
    <w:rsid w:val="005E6B3E"/>
    <w:rsid w:val="005F6BA9"/>
    <w:rsid w:val="0060531A"/>
    <w:rsid w:val="0060588C"/>
    <w:rsid w:val="0062230C"/>
    <w:rsid w:val="0062361C"/>
    <w:rsid w:val="00631189"/>
    <w:rsid w:val="00631B9F"/>
    <w:rsid w:val="00632C86"/>
    <w:rsid w:val="00634A54"/>
    <w:rsid w:val="00646028"/>
    <w:rsid w:val="00647478"/>
    <w:rsid w:val="00655B75"/>
    <w:rsid w:val="00667A65"/>
    <w:rsid w:val="006712FC"/>
    <w:rsid w:val="00675423"/>
    <w:rsid w:val="006811A5"/>
    <w:rsid w:val="006A7332"/>
    <w:rsid w:val="006B3E1F"/>
    <w:rsid w:val="006B4BCB"/>
    <w:rsid w:val="006C435E"/>
    <w:rsid w:val="006C78BB"/>
    <w:rsid w:val="006D1FD7"/>
    <w:rsid w:val="006D5332"/>
    <w:rsid w:val="006D6B82"/>
    <w:rsid w:val="006E1B9D"/>
    <w:rsid w:val="006F115C"/>
    <w:rsid w:val="006F6770"/>
    <w:rsid w:val="007065D1"/>
    <w:rsid w:val="0071301D"/>
    <w:rsid w:val="00713371"/>
    <w:rsid w:val="0071622D"/>
    <w:rsid w:val="007177F2"/>
    <w:rsid w:val="00720C71"/>
    <w:rsid w:val="0072306E"/>
    <w:rsid w:val="00723444"/>
    <w:rsid w:val="007236FA"/>
    <w:rsid w:val="007244F1"/>
    <w:rsid w:val="00724A73"/>
    <w:rsid w:val="007257C0"/>
    <w:rsid w:val="00736357"/>
    <w:rsid w:val="00740F5C"/>
    <w:rsid w:val="00757F43"/>
    <w:rsid w:val="00761655"/>
    <w:rsid w:val="00762A86"/>
    <w:rsid w:val="00764DDC"/>
    <w:rsid w:val="007660A8"/>
    <w:rsid w:val="007716DF"/>
    <w:rsid w:val="00772D18"/>
    <w:rsid w:val="00773CC9"/>
    <w:rsid w:val="00774CFE"/>
    <w:rsid w:val="00774E55"/>
    <w:rsid w:val="00781D21"/>
    <w:rsid w:val="0079048A"/>
    <w:rsid w:val="007A5ED6"/>
    <w:rsid w:val="007B2BB4"/>
    <w:rsid w:val="007B5FF5"/>
    <w:rsid w:val="007B67F3"/>
    <w:rsid w:val="007B7E6D"/>
    <w:rsid w:val="007C226C"/>
    <w:rsid w:val="007C46D3"/>
    <w:rsid w:val="007D19D8"/>
    <w:rsid w:val="007D6E99"/>
    <w:rsid w:val="007E7D20"/>
    <w:rsid w:val="007F1D11"/>
    <w:rsid w:val="007F243B"/>
    <w:rsid w:val="007F3F27"/>
    <w:rsid w:val="007F44CE"/>
    <w:rsid w:val="00802472"/>
    <w:rsid w:val="00811F16"/>
    <w:rsid w:val="00813CE4"/>
    <w:rsid w:val="00830882"/>
    <w:rsid w:val="008541E1"/>
    <w:rsid w:val="00855C68"/>
    <w:rsid w:val="00865C75"/>
    <w:rsid w:val="00865FED"/>
    <w:rsid w:val="0087263A"/>
    <w:rsid w:val="00872E49"/>
    <w:rsid w:val="0087534F"/>
    <w:rsid w:val="00876636"/>
    <w:rsid w:val="008769B3"/>
    <w:rsid w:val="00886825"/>
    <w:rsid w:val="0089729A"/>
    <w:rsid w:val="008B18BF"/>
    <w:rsid w:val="008B31EC"/>
    <w:rsid w:val="008B7144"/>
    <w:rsid w:val="008B7F7B"/>
    <w:rsid w:val="008C4126"/>
    <w:rsid w:val="008C6821"/>
    <w:rsid w:val="008E1D8F"/>
    <w:rsid w:val="008E70D5"/>
    <w:rsid w:val="008E7E6D"/>
    <w:rsid w:val="008F58DA"/>
    <w:rsid w:val="0090035C"/>
    <w:rsid w:val="00900874"/>
    <w:rsid w:val="0090443A"/>
    <w:rsid w:val="00906828"/>
    <w:rsid w:val="00912B5C"/>
    <w:rsid w:val="00912EA7"/>
    <w:rsid w:val="009137DE"/>
    <w:rsid w:val="00917A1B"/>
    <w:rsid w:val="00935F56"/>
    <w:rsid w:val="009437EA"/>
    <w:rsid w:val="00953F24"/>
    <w:rsid w:val="00955472"/>
    <w:rsid w:val="00966EF9"/>
    <w:rsid w:val="009713A8"/>
    <w:rsid w:val="00972809"/>
    <w:rsid w:val="0097472A"/>
    <w:rsid w:val="00974D6B"/>
    <w:rsid w:val="00977467"/>
    <w:rsid w:val="009774C8"/>
    <w:rsid w:val="00981048"/>
    <w:rsid w:val="00981F2F"/>
    <w:rsid w:val="00982323"/>
    <w:rsid w:val="009879A5"/>
    <w:rsid w:val="00990106"/>
    <w:rsid w:val="0099327B"/>
    <w:rsid w:val="009953B4"/>
    <w:rsid w:val="009A455A"/>
    <w:rsid w:val="009A71D3"/>
    <w:rsid w:val="009B09F1"/>
    <w:rsid w:val="009B2620"/>
    <w:rsid w:val="009C666A"/>
    <w:rsid w:val="009D78C9"/>
    <w:rsid w:val="009E2E2B"/>
    <w:rsid w:val="009F1371"/>
    <w:rsid w:val="009F4FA8"/>
    <w:rsid w:val="009F63B1"/>
    <w:rsid w:val="00A02109"/>
    <w:rsid w:val="00A04D60"/>
    <w:rsid w:val="00A14444"/>
    <w:rsid w:val="00A15223"/>
    <w:rsid w:val="00A15600"/>
    <w:rsid w:val="00A3201E"/>
    <w:rsid w:val="00A36269"/>
    <w:rsid w:val="00A37779"/>
    <w:rsid w:val="00A37A57"/>
    <w:rsid w:val="00A37D88"/>
    <w:rsid w:val="00A402C0"/>
    <w:rsid w:val="00A56793"/>
    <w:rsid w:val="00A62390"/>
    <w:rsid w:val="00A71FB4"/>
    <w:rsid w:val="00A7243D"/>
    <w:rsid w:val="00A7345B"/>
    <w:rsid w:val="00A76B17"/>
    <w:rsid w:val="00A81A4F"/>
    <w:rsid w:val="00A82AB2"/>
    <w:rsid w:val="00A87194"/>
    <w:rsid w:val="00A9671C"/>
    <w:rsid w:val="00AB32CC"/>
    <w:rsid w:val="00AB63BB"/>
    <w:rsid w:val="00AB7735"/>
    <w:rsid w:val="00AD47EB"/>
    <w:rsid w:val="00AE2A5D"/>
    <w:rsid w:val="00AE4DA8"/>
    <w:rsid w:val="00AF2DD5"/>
    <w:rsid w:val="00AF3987"/>
    <w:rsid w:val="00AF742A"/>
    <w:rsid w:val="00B02787"/>
    <w:rsid w:val="00B03194"/>
    <w:rsid w:val="00B031D0"/>
    <w:rsid w:val="00B033E8"/>
    <w:rsid w:val="00B13F02"/>
    <w:rsid w:val="00B1582F"/>
    <w:rsid w:val="00B3290E"/>
    <w:rsid w:val="00B33EB1"/>
    <w:rsid w:val="00B354F0"/>
    <w:rsid w:val="00B44502"/>
    <w:rsid w:val="00B569B8"/>
    <w:rsid w:val="00B56FD3"/>
    <w:rsid w:val="00B575A0"/>
    <w:rsid w:val="00B84FB2"/>
    <w:rsid w:val="00B87B05"/>
    <w:rsid w:val="00B90123"/>
    <w:rsid w:val="00B91825"/>
    <w:rsid w:val="00B9295F"/>
    <w:rsid w:val="00BA2C19"/>
    <w:rsid w:val="00BB1373"/>
    <w:rsid w:val="00BB1F64"/>
    <w:rsid w:val="00BC028B"/>
    <w:rsid w:val="00BC14A8"/>
    <w:rsid w:val="00BD5847"/>
    <w:rsid w:val="00BE12DE"/>
    <w:rsid w:val="00BE173F"/>
    <w:rsid w:val="00BE41CF"/>
    <w:rsid w:val="00BE4B13"/>
    <w:rsid w:val="00BE542C"/>
    <w:rsid w:val="00BE7EBE"/>
    <w:rsid w:val="00BF18FF"/>
    <w:rsid w:val="00BF5666"/>
    <w:rsid w:val="00C11E7F"/>
    <w:rsid w:val="00C15D5D"/>
    <w:rsid w:val="00C164D2"/>
    <w:rsid w:val="00C32E5D"/>
    <w:rsid w:val="00C4101A"/>
    <w:rsid w:val="00C57143"/>
    <w:rsid w:val="00C57BEF"/>
    <w:rsid w:val="00C62316"/>
    <w:rsid w:val="00C651F8"/>
    <w:rsid w:val="00C71EB1"/>
    <w:rsid w:val="00C74604"/>
    <w:rsid w:val="00C76851"/>
    <w:rsid w:val="00C811C3"/>
    <w:rsid w:val="00C82EEB"/>
    <w:rsid w:val="00C83C3B"/>
    <w:rsid w:val="00C85D04"/>
    <w:rsid w:val="00CB1638"/>
    <w:rsid w:val="00CC0CF7"/>
    <w:rsid w:val="00CC6CF8"/>
    <w:rsid w:val="00CE747E"/>
    <w:rsid w:val="00CF0A25"/>
    <w:rsid w:val="00D0459B"/>
    <w:rsid w:val="00D06D8B"/>
    <w:rsid w:val="00D1340F"/>
    <w:rsid w:val="00D15E51"/>
    <w:rsid w:val="00D1761F"/>
    <w:rsid w:val="00D20300"/>
    <w:rsid w:val="00D20856"/>
    <w:rsid w:val="00D22030"/>
    <w:rsid w:val="00D22640"/>
    <w:rsid w:val="00D36C2B"/>
    <w:rsid w:val="00D40907"/>
    <w:rsid w:val="00D47181"/>
    <w:rsid w:val="00D570C4"/>
    <w:rsid w:val="00D64B4D"/>
    <w:rsid w:val="00D65C3B"/>
    <w:rsid w:val="00D71931"/>
    <w:rsid w:val="00D7348E"/>
    <w:rsid w:val="00D73BC7"/>
    <w:rsid w:val="00D75ABC"/>
    <w:rsid w:val="00D75EB8"/>
    <w:rsid w:val="00D76929"/>
    <w:rsid w:val="00D76F97"/>
    <w:rsid w:val="00D80CE3"/>
    <w:rsid w:val="00D83D12"/>
    <w:rsid w:val="00D850F2"/>
    <w:rsid w:val="00D8601E"/>
    <w:rsid w:val="00D86486"/>
    <w:rsid w:val="00D906C6"/>
    <w:rsid w:val="00D916E9"/>
    <w:rsid w:val="00DA0B64"/>
    <w:rsid w:val="00DA46D1"/>
    <w:rsid w:val="00DB2EC7"/>
    <w:rsid w:val="00DC5908"/>
    <w:rsid w:val="00DC6942"/>
    <w:rsid w:val="00DD0F15"/>
    <w:rsid w:val="00DD6A15"/>
    <w:rsid w:val="00DE239E"/>
    <w:rsid w:val="00DF17A5"/>
    <w:rsid w:val="00DF44BC"/>
    <w:rsid w:val="00DF48F5"/>
    <w:rsid w:val="00DF5901"/>
    <w:rsid w:val="00DF6A7C"/>
    <w:rsid w:val="00E01087"/>
    <w:rsid w:val="00E137AC"/>
    <w:rsid w:val="00E13FF1"/>
    <w:rsid w:val="00E156B2"/>
    <w:rsid w:val="00E1616B"/>
    <w:rsid w:val="00E168C9"/>
    <w:rsid w:val="00E42902"/>
    <w:rsid w:val="00E542FC"/>
    <w:rsid w:val="00E57DE9"/>
    <w:rsid w:val="00E80B19"/>
    <w:rsid w:val="00E97DA0"/>
    <w:rsid w:val="00EB404F"/>
    <w:rsid w:val="00EC1619"/>
    <w:rsid w:val="00EC46AE"/>
    <w:rsid w:val="00EC4C86"/>
    <w:rsid w:val="00EC7FB7"/>
    <w:rsid w:val="00ED11E2"/>
    <w:rsid w:val="00ED5254"/>
    <w:rsid w:val="00ED77F0"/>
    <w:rsid w:val="00EE28EB"/>
    <w:rsid w:val="00EF2272"/>
    <w:rsid w:val="00EF26A1"/>
    <w:rsid w:val="00F01C18"/>
    <w:rsid w:val="00F03523"/>
    <w:rsid w:val="00F14D13"/>
    <w:rsid w:val="00F155EF"/>
    <w:rsid w:val="00F167CF"/>
    <w:rsid w:val="00F263A1"/>
    <w:rsid w:val="00F30015"/>
    <w:rsid w:val="00F30714"/>
    <w:rsid w:val="00F45C8C"/>
    <w:rsid w:val="00F75700"/>
    <w:rsid w:val="00F8541B"/>
    <w:rsid w:val="00F86550"/>
    <w:rsid w:val="00F878CC"/>
    <w:rsid w:val="00F95F84"/>
    <w:rsid w:val="00FA4A03"/>
    <w:rsid w:val="00FB179A"/>
    <w:rsid w:val="00FB31FC"/>
    <w:rsid w:val="00FC328E"/>
    <w:rsid w:val="00FC57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7"/>
    <o:shapelayout v:ext="edit">
      <o:idmap v:ext="edit" data="1,46"/>
      <o:regrouptable v:ext="edit">
        <o:entry new="1" old="0"/>
        <o:entry new="2" old="0"/>
        <o:entry new="3" old="0"/>
        <o:entry new="4" old="0"/>
        <o:entry new="5" old="4"/>
        <o:entry new="6" old="0"/>
        <o:entry new="7" old="6"/>
        <o:entry new="8" old="0"/>
        <o:entry new="9" old="8"/>
        <o:entry new="10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40C6"/>
    <w:pPr>
      <w:jc w:val="both"/>
    </w:pPr>
    <w:rPr>
      <w:sz w:val="18"/>
    </w:rPr>
  </w:style>
  <w:style w:type="paragraph" w:styleId="Heading1">
    <w:name w:val="heading 1"/>
    <w:basedOn w:val="Normal"/>
    <w:next w:val="Normal"/>
    <w:autoRedefine/>
    <w:qFormat/>
    <w:rsid w:val="00C4101A"/>
    <w:pPr>
      <w:widowControl w:val="0"/>
      <w:numPr>
        <w:numId w:val="1"/>
      </w:numPr>
      <w:spacing w:before="180" w:after="120"/>
      <w:ind w:left="29" w:hanging="29"/>
      <w:jc w:val="center"/>
      <w:outlineLvl w:val="0"/>
    </w:pPr>
    <w:rPr>
      <w:b/>
      <w:sz w:val="24"/>
      <w:szCs w:val="24"/>
    </w:rPr>
  </w:style>
  <w:style w:type="paragraph" w:styleId="Heading2">
    <w:name w:val="heading 2"/>
    <w:basedOn w:val="Normal"/>
    <w:next w:val="BodyText"/>
    <w:autoRedefine/>
    <w:qFormat/>
    <w:rsid w:val="00AF3987"/>
    <w:pPr>
      <w:widowControl w:val="0"/>
      <w:numPr>
        <w:ilvl w:val="1"/>
        <w:numId w:val="1"/>
      </w:numPr>
      <w:spacing w:before="180" w:after="120"/>
      <w:outlineLvl w:val="1"/>
    </w:pPr>
    <w:rPr>
      <w:b/>
      <w:bCs/>
      <w:iCs/>
      <w:sz w:val="20"/>
    </w:rPr>
  </w:style>
  <w:style w:type="paragraph" w:styleId="Heading3">
    <w:name w:val="heading 3"/>
    <w:basedOn w:val="Normal"/>
    <w:next w:val="Normal"/>
    <w:autoRedefine/>
    <w:qFormat/>
    <w:rsid w:val="00A753D2"/>
    <w:pPr>
      <w:keepNext/>
      <w:numPr>
        <w:ilvl w:val="2"/>
        <w:numId w:val="1"/>
      </w:numPr>
      <w:tabs>
        <w:tab w:val="left" w:pos="576"/>
      </w:tabs>
      <w:spacing w:before="180" w:after="120"/>
      <w:outlineLvl w:val="2"/>
    </w:pPr>
    <w:rPr>
      <w:i/>
      <w:sz w:val="20"/>
    </w:rPr>
  </w:style>
  <w:style w:type="paragraph" w:styleId="Heading4">
    <w:name w:val="heading 4"/>
    <w:basedOn w:val="Normal"/>
    <w:next w:val="Normal"/>
    <w:qFormat/>
    <w:rsid w:val="00D850F2"/>
    <w:pPr>
      <w:keepNext/>
      <w:numPr>
        <w:ilvl w:val="3"/>
        <w:numId w:val="1"/>
      </w:numPr>
      <w:spacing w:before="240" w:after="60"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D850F2"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qFormat/>
    <w:rsid w:val="00D850F2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D850F2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D850F2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D850F2"/>
    <w:pPr>
      <w:numPr>
        <w:ilvl w:val="8"/>
        <w:numId w:val="1"/>
      </w:numPr>
      <w:spacing w:before="240" w:after="60"/>
      <w:outlineLvl w:val="8"/>
    </w:pPr>
    <w:rPr>
      <w:rFonts w:ascii="Arial" w:hAnsi="Arial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sid w:val="00D850F2"/>
  </w:style>
  <w:style w:type="paragraph" w:customStyle="1" w:styleId="FootnoteBase">
    <w:name w:val="Footnote Base"/>
    <w:basedOn w:val="Normal"/>
    <w:rsid w:val="00D850F2"/>
    <w:pPr>
      <w:tabs>
        <w:tab w:val="left" w:pos="187"/>
      </w:tabs>
      <w:spacing w:line="220" w:lineRule="exact"/>
      <w:ind w:left="187" w:hanging="187"/>
    </w:pPr>
  </w:style>
  <w:style w:type="paragraph" w:styleId="Caption">
    <w:name w:val="caption"/>
    <w:aliases w:val="IES Caption"/>
    <w:basedOn w:val="Normal"/>
    <w:next w:val="Normal"/>
    <w:link w:val="CaptionChar"/>
    <w:qFormat/>
    <w:rsid w:val="00CC266B"/>
    <w:pPr>
      <w:spacing w:before="120" w:after="240"/>
      <w:ind w:left="289" w:right="289"/>
      <w:jc w:val="center"/>
    </w:pPr>
    <w:rPr>
      <w:szCs w:val="18"/>
    </w:rPr>
  </w:style>
  <w:style w:type="character" w:customStyle="1" w:styleId="CaptionChar">
    <w:name w:val="Caption Char"/>
    <w:aliases w:val="IES Caption Char"/>
    <w:basedOn w:val="DefaultParagraphFont"/>
    <w:link w:val="Caption"/>
    <w:rsid w:val="00CC266B"/>
    <w:rPr>
      <w:sz w:val="18"/>
      <w:szCs w:val="18"/>
      <w:lang w:val="en-US" w:eastAsia="en-US" w:bidi="ar-SA"/>
    </w:rPr>
  </w:style>
  <w:style w:type="paragraph" w:customStyle="1" w:styleId="BodyTextNext">
    <w:name w:val="Body Text Next"/>
    <w:basedOn w:val="BodyText"/>
    <w:autoRedefine/>
    <w:rsid w:val="00713371"/>
    <w:pPr>
      <w:spacing w:after="0"/>
      <w:ind w:firstLine="288"/>
    </w:pPr>
  </w:style>
  <w:style w:type="paragraph" w:styleId="BodyText">
    <w:name w:val="Body Text"/>
    <w:basedOn w:val="Normal"/>
    <w:next w:val="BodyTextNext"/>
    <w:link w:val="BodyTextChar"/>
    <w:autoRedefine/>
    <w:rsid w:val="005B1C8B"/>
    <w:pPr>
      <w:spacing w:before="120" w:after="120"/>
    </w:pPr>
  </w:style>
  <w:style w:type="paragraph" w:styleId="Title">
    <w:name w:val="Title"/>
    <w:basedOn w:val="Normal"/>
    <w:next w:val="Author"/>
    <w:qFormat/>
    <w:rsid w:val="00895724"/>
    <w:pPr>
      <w:spacing w:before="240" w:after="60"/>
      <w:jc w:val="center"/>
      <w:outlineLvl w:val="0"/>
    </w:pPr>
    <w:rPr>
      <w:rFonts w:cs="Arial"/>
      <w:b/>
      <w:bCs/>
      <w:kern w:val="28"/>
      <w:sz w:val="28"/>
      <w:szCs w:val="32"/>
    </w:rPr>
  </w:style>
  <w:style w:type="paragraph" w:customStyle="1" w:styleId="Author">
    <w:name w:val="Author"/>
    <w:basedOn w:val="Normal"/>
    <w:next w:val="Affiliation"/>
    <w:rsid w:val="00D850F2"/>
    <w:pPr>
      <w:spacing w:before="220" w:after="220"/>
      <w:jc w:val="center"/>
    </w:pPr>
    <w:rPr>
      <w:i/>
      <w:sz w:val="24"/>
    </w:rPr>
  </w:style>
  <w:style w:type="paragraph" w:customStyle="1" w:styleId="Affiliation">
    <w:name w:val="Affiliation"/>
    <w:basedOn w:val="Normal"/>
    <w:rsid w:val="00D850F2"/>
    <w:pPr>
      <w:jc w:val="center"/>
    </w:pPr>
    <w:rPr>
      <w:sz w:val="24"/>
    </w:rPr>
  </w:style>
  <w:style w:type="character" w:styleId="EndnoteReference">
    <w:name w:val="endnote reference"/>
    <w:basedOn w:val="DefaultParagraphFont"/>
    <w:semiHidden/>
    <w:rsid w:val="00D850F2"/>
    <w:rPr>
      <w:vertAlign w:val="superscript"/>
    </w:rPr>
  </w:style>
  <w:style w:type="paragraph" w:styleId="Footer">
    <w:name w:val="footer"/>
    <w:basedOn w:val="Normal"/>
    <w:rsid w:val="00D850F2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D850F2"/>
  </w:style>
  <w:style w:type="character" w:styleId="FootnoteReference">
    <w:name w:val="footnote reference"/>
    <w:basedOn w:val="DefaultParagraphFont"/>
    <w:semiHidden/>
    <w:rsid w:val="00D850F2"/>
    <w:rPr>
      <w:vertAlign w:val="superscript"/>
    </w:rPr>
  </w:style>
  <w:style w:type="paragraph" w:styleId="MacroText">
    <w:name w:val="macro"/>
    <w:basedOn w:val="Normal"/>
    <w:semiHidden/>
    <w:rsid w:val="00D850F2"/>
    <w:pPr>
      <w:spacing w:after="120"/>
      <w:ind w:right="45"/>
    </w:pPr>
    <w:rPr>
      <w:rFonts w:ascii="Courier New" w:hAnsi="Courier New"/>
    </w:rPr>
  </w:style>
  <w:style w:type="character" w:styleId="CommentReference">
    <w:name w:val="annotation reference"/>
    <w:basedOn w:val="DefaultParagraphFont"/>
    <w:semiHidden/>
    <w:rsid w:val="00D850F2"/>
    <w:rPr>
      <w:sz w:val="16"/>
    </w:rPr>
  </w:style>
  <w:style w:type="paragraph" w:customStyle="1" w:styleId="Reference">
    <w:name w:val="Reference"/>
    <w:basedOn w:val="Normal"/>
    <w:rsid w:val="00D850F2"/>
    <w:pPr>
      <w:tabs>
        <w:tab w:val="num" w:pos="360"/>
      </w:tabs>
      <w:ind w:left="360" w:hanging="360"/>
    </w:pPr>
  </w:style>
  <w:style w:type="paragraph" w:customStyle="1" w:styleId="Equation">
    <w:name w:val="Equation"/>
    <w:basedOn w:val="Normal"/>
    <w:rsid w:val="005828B5"/>
    <w:pPr>
      <w:tabs>
        <w:tab w:val="left" w:pos="567"/>
        <w:tab w:val="right" w:pos="4536"/>
      </w:tabs>
      <w:spacing w:before="120" w:after="120"/>
      <w:jc w:val="left"/>
    </w:pPr>
  </w:style>
  <w:style w:type="paragraph" w:customStyle="1" w:styleId="NumItem">
    <w:name w:val="NumItem"/>
    <w:basedOn w:val="Normal"/>
    <w:rsid w:val="00D850F2"/>
    <w:pPr>
      <w:tabs>
        <w:tab w:val="num" w:pos="360"/>
      </w:tabs>
      <w:ind w:left="360" w:right="288" w:hanging="360"/>
    </w:pPr>
  </w:style>
  <w:style w:type="paragraph" w:customStyle="1" w:styleId="AbstractHeading">
    <w:name w:val="AbstractHeading"/>
    <w:basedOn w:val="Normal"/>
    <w:autoRedefine/>
    <w:rsid w:val="00CC266B"/>
    <w:pPr>
      <w:spacing w:before="80" w:after="120"/>
      <w:ind w:right="45"/>
      <w:jc w:val="center"/>
    </w:pPr>
    <w:rPr>
      <w:b/>
      <w:sz w:val="24"/>
    </w:rPr>
  </w:style>
  <w:style w:type="paragraph" w:styleId="Header">
    <w:name w:val="header"/>
    <w:basedOn w:val="Normal"/>
    <w:rsid w:val="00D850F2"/>
    <w:pPr>
      <w:tabs>
        <w:tab w:val="center" w:pos="4153"/>
        <w:tab w:val="right" w:pos="8306"/>
      </w:tabs>
    </w:pPr>
  </w:style>
  <w:style w:type="paragraph" w:customStyle="1" w:styleId="Tablecaption">
    <w:name w:val="Table caption"/>
    <w:basedOn w:val="Caption"/>
    <w:link w:val="TablecaptionChar"/>
    <w:rsid w:val="00A83AC6"/>
    <w:pPr>
      <w:spacing w:after="120"/>
      <w:ind w:left="288" w:right="288"/>
    </w:pPr>
    <w:rPr>
      <w:sz w:val="16"/>
      <w:szCs w:val="16"/>
    </w:rPr>
  </w:style>
  <w:style w:type="character" w:customStyle="1" w:styleId="TablecaptionChar">
    <w:name w:val="Table caption Char"/>
    <w:basedOn w:val="CaptionChar"/>
    <w:link w:val="Tablecaption"/>
    <w:rsid w:val="00A83AC6"/>
    <w:rPr>
      <w:sz w:val="16"/>
      <w:szCs w:val="16"/>
    </w:rPr>
  </w:style>
  <w:style w:type="paragraph" w:customStyle="1" w:styleId="Figurecaption">
    <w:name w:val="Figure caption"/>
    <w:basedOn w:val="Tablecaption"/>
    <w:link w:val="FigurecaptionChar"/>
    <w:autoRedefine/>
    <w:rsid w:val="00A83AC6"/>
    <w:pPr>
      <w:spacing w:before="0" w:after="60"/>
    </w:pPr>
  </w:style>
  <w:style w:type="character" w:customStyle="1" w:styleId="FigurecaptionChar">
    <w:name w:val="Figure caption Char"/>
    <w:basedOn w:val="TablecaptionChar"/>
    <w:link w:val="Figurecaption"/>
    <w:rsid w:val="00A83AC6"/>
  </w:style>
  <w:style w:type="paragraph" w:styleId="BalloonText">
    <w:name w:val="Balloon Text"/>
    <w:basedOn w:val="Normal"/>
    <w:semiHidden/>
    <w:rsid w:val="007457DA"/>
    <w:rPr>
      <w:rFonts w:ascii="Tahoma" w:hAnsi="Tahoma" w:cs="Tahoma"/>
      <w:sz w:val="16"/>
      <w:szCs w:val="16"/>
    </w:rPr>
  </w:style>
  <w:style w:type="paragraph" w:customStyle="1" w:styleId="MTDisplayEquation">
    <w:name w:val="MTDisplayEquation"/>
    <w:basedOn w:val="Normal"/>
    <w:next w:val="Normal"/>
    <w:autoRedefine/>
    <w:rsid w:val="00A11CCC"/>
    <w:pPr>
      <w:tabs>
        <w:tab w:val="left" w:pos="288"/>
        <w:tab w:val="right" w:pos="4464"/>
      </w:tabs>
      <w:jc w:val="left"/>
    </w:pPr>
    <w:rPr>
      <w:szCs w:val="24"/>
    </w:rPr>
  </w:style>
  <w:style w:type="character" w:customStyle="1" w:styleId="MTEquationSection">
    <w:name w:val="MTEquationSection"/>
    <w:basedOn w:val="DefaultParagraphFont"/>
    <w:rsid w:val="00A41B47"/>
    <w:rPr>
      <w:vanish w:val="0"/>
      <w:color w:val="FF0000"/>
    </w:rPr>
  </w:style>
  <w:style w:type="paragraph" w:customStyle="1" w:styleId="email">
    <w:name w:val="email"/>
    <w:basedOn w:val="Normal"/>
    <w:rsid w:val="000D4ED6"/>
    <w:pPr>
      <w:spacing w:before="60"/>
      <w:jc w:val="center"/>
    </w:pPr>
    <w:rPr>
      <w:rFonts w:ascii="Courier" w:hAnsi="Courier"/>
    </w:rPr>
  </w:style>
  <w:style w:type="paragraph" w:styleId="ListBullet">
    <w:name w:val="List Bullet"/>
    <w:basedOn w:val="Normal"/>
    <w:autoRedefine/>
    <w:rsid w:val="00F60F74"/>
    <w:pPr>
      <w:numPr>
        <w:numId w:val="8"/>
      </w:numPr>
      <w:tabs>
        <w:tab w:val="clear" w:pos="360"/>
      </w:tabs>
      <w:spacing w:before="60"/>
      <w:ind w:left="432" w:hanging="216"/>
    </w:pPr>
  </w:style>
  <w:style w:type="paragraph" w:styleId="CommentSubject">
    <w:name w:val="annotation subject"/>
    <w:basedOn w:val="CommentText"/>
    <w:next w:val="CommentText"/>
    <w:semiHidden/>
    <w:rsid w:val="00416A38"/>
    <w:rPr>
      <w:b/>
      <w:bCs/>
      <w:sz w:val="20"/>
    </w:rPr>
  </w:style>
  <w:style w:type="paragraph" w:customStyle="1" w:styleId="Index">
    <w:name w:val="Index"/>
    <w:basedOn w:val="BodyText"/>
    <w:next w:val="Heading1"/>
    <w:rsid w:val="00171C10"/>
    <w:rPr>
      <w:szCs w:val="18"/>
    </w:rPr>
  </w:style>
  <w:style w:type="paragraph" w:customStyle="1" w:styleId="StyleCaptionJustified">
    <w:name w:val="Style Caption + Justified"/>
    <w:basedOn w:val="Caption"/>
    <w:rsid w:val="00EE7D2E"/>
    <w:pPr>
      <w:jc w:val="both"/>
    </w:pPr>
  </w:style>
  <w:style w:type="character" w:styleId="Hyperlink">
    <w:name w:val="Hyperlink"/>
    <w:basedOn w:val="DefaultParagraphFont"/>
    <w:rsid w:val="00FF005B"/>
    <w:rPr>
      <w:rFonts w:ascii="Arial" w:hAnsi="Arial" w:cs="Arial" w:hint="default"/>
      <w:strike w:val="0"/>
      <w:dstrike w:val="0"/>
      <w:color w:val="333399"/>
      <w:sz w:val="18"/>
      <w:szCs w:val="18"/>
      <w:u w:val="none"/>
      <w:effect w:val="none"/>
    </w:rPr>
  </w:style>
  <w:style w:type="character" w:customStyle="1" w:styleId="BodyTextChar">
    <w:name w:val="Body Text Char"/>
    <w:basedOn w:val="DefaultParagraphFont"/>
    <w:link w:val="BodyText"/>
    <w:rsid w:val="005B1C8B"/>
    <w:rPr>
      <w:sz w:val="18"/>
    </w:rPr>
  </w:style>
  <w:style w:type="paragraph" w:customStyle="1" w:styleId="StyleReference8pt">
    <w:name w:val="Style Reference + 8 pt"/>
    <w:basedOn w:val="Reference"/>
    <w:rsid w:val="005C512A"/>
    <w:pPr>
      <w:numPr>
        <w:numId w:val="18"/>
      </w:numPr>
      <w:jc w:val="left"/>
    </w:pPr>
    <w:rPr>
      <w:sz w:val="16"/>
    </w:rPr>
  </w:style>
  <w:style w:type="paragraph" w:styleId="Revision">
    <w:name w:val="Revision"/>
    <w:hidden/>
    <w:uiPriority w:val="99"/>
    <w:semiHidden/>
    <w:rsid w:val="00390EA1"/>
    <w:rPr>
      <w:sz w:val="18"/>
    </w:rPr>
  </w:style>
  <w:style w:type="table" w:styleId="TableGrid">
    <w:name w:val="Table Grid"/>
    <w:basedOn w:val="TableNormal"/>
    <w:rsid w:val="006D53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D5332"/>
    <w:pPr>
      <w:ind w:left="720"/>
      <w:contextualSpacing/>
    </w:pPr>
  </w:style>
  <w:style w:type="paragraph" w:customStyle="1" w:styleId="IESheading2">
    <w:name w:val="IES_heading2"/>
    <w:basedOn w:val="Heading2"/>
    <w:rsid w:val="00972809"/>
  </w:style>
  <w:style w:type="paragraph" w:customStyle="1" w:styleId="ISIPparagraph">
    <w:name w:val="ISIP paragraph"/>
    <w:basedOn w:val="Normal"/>
    <w:link w:val="ISIPparagraphChar"/>
    <w:qFormat/>
    <w:rsid w:val="00972809"/>
    <w:pPr>
      <w:ind w:firstLine="288"/>
    </w:pPr>
  </w:style>
  <w:style w:type="character" w:customStyle="1" w:styleId="ISIPparagraphChar">
    <w:name w:val="ISIP paragraph Char"/>
    <w:basedOn w:val="DefaultParagraphFont"/>
    <w:link w:val="ISIPparagraph"/>
    <w:rsid w:val="00972809"/>
    <w:rPr>
      <w:sz w:val="18"/>
    </w:rPr>
  </w:style>
  <w:style w:type="paragraph" w:customStyle="1" w:styleId="IESParagraph">
    <w:name w:val="IES_Paragraph"/>
    <w:basedOn w:val="BodyTextNext"/>
    <w:rsid w:val="0087263A"/>
  </w:style>
  <w:style w:type="paragraph" w:customStyle="1" w:styleId="TableContents">
    <w:name w:val="Table Contents"/>
    <w:basedOn w:val="Normal"/>
    <w:rsid w:val="0087263A"/>
    <w:pPr>
      <w:widowControl w:val="0"/>
      <w:suppressLineNumbers/>
      <w:suppressAutoHyphens/>
      <w:jc w:val="left"/>
    </w:pPr>
    <w:rPr>
      <w:rFonts w:ascii="Nimbus Roman No9 L" w:eastAsia="DejaVu LGC Sans" w:hAnsi="Nimbus Roman No9 L" w:cs="DejaVu LGC Sans"/>
      <w:sz w:val="24"/>
      <w:szCs w:val="24"/>
      <w:lang w:bidi="en-US"/>
    </w:rPr>
  </w:style>
  <w:style w:type="character" w:styleId="FollowedHyperlink">
    <w:name w:val="FollowedHyperlink"/>
    <w:basedOn w:val="DefaultParagraphFont"/>
    <w:rsid w:val="0005036B"/>
    <w:rPr>
      <w:color w:val="800080" w:themeColor="followedHyperlink"/>
      <w:u w:val="single"/>
    </w:rPr>
  </w:style>
  <w:style w:type="paragraph" w:styleId="HTMLPreformatted">
    <w:name w:val="HTML Preformatted"/>
    <w:basedOn w:val="Normal"/>
    <w:link w:val="HTMLPreformattedChar"/>
    <w:rsid w:val="002C4543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2C4543"/>
    <w:rPr>
      <w:rFonts w:ascii="Consolas" w:hAnsi="Consola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oleObject" Target="embeddings/oleObject2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oleObject" Target="embeddings/oleObject6.bin"/><Relationship Id="rId34" Type="http://schemas.openxmlformats.org/officeDocument/2006/relationships/image" Target="media/image14.wmf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38" Type="http://schemas.openxmlformats.org/officeDocument/2006/relationships/image" Target="media/image16.emf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0.bin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4.bin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10" Type="http://schemas.openxmlformats.org/officeDocument/2006/relationships/image" Target="media/image2.wmf"/><Relationship Id="rId19" Type="http://schemas.openxmlformats.org/officeDocument/2006/relationships/oleObject" Target="embeddings/oleObject5.bin"/><Relationship Id="rId31" Type="http://schemas.openxmlformats.org/officeDocument/2006/relationships/oleObject" Target="embeddings/oleObject11.bin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9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2FEB2-3C0C-4D9C-8602-9E7E923AE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2875</Words>
  <Characters>16822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Gateway 2000</Company>
  <LinksUpToDate>false</LinksUpToDate>
  <CharactersWithSpaces>19658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Electrical and Computer Engineering</dc:creator>
  <cp:lastModifiedBy>Electrical and Computer Engineering</cp:lastModifiedBy>
  <cp:revision>2</cp:revision>
  <cp:lastPrinted>2009-04-17T20:41:00Z</cp:lastPrinted>
  <dcterms:created xsi:type="dcterms:W3CDTF">2009-05-24T22:07:00Z</dcterms:created>
  <dcterms:modified xsi:type="dcterms:W3CDTF">2009-05-24T22:07:00Z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Section">
    <vt:lpwstr>1</vt:lpwstr>
  </property>
  <property fmtid="{D5CDD505-2E9C-101B-9397-08002B2CF9AE}" pid="4" name="MTEquationNumber2">
    <vt:lpwstr>(#E1)</vt:lpwstr>
  </property>
</Properties>
</file>