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45EE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49C4A87B" w14:textId="77777777" w:rsidR="005C6BB0" w:rsidRDefault="005C6BB0" w:rsidP="005C6BB0">
      <w:pPr>
        <w:jc w:val="left"/>
      </w:pPr>
    </w:p>
    <w:p w14:paraId="18805B8A" w14:textId="77777777" w:rsidR="005C6BB0" w:rsidRDefault="005C6BB0" w:rsidP="006A663A">
      <w:pPr>
        <w:pageBreakBefore/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7397A156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48358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Problem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6F8203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Points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DB8C07" w14:textId="77777777" w:rsidR="005C6BB0" w:rsidRPr="00D73C3D" w:rsidRDefault="005C6BB0" w:rsidP="005C6BB0">
            <w:pPr>
              <w:spacing w:after="0"/>
              <w:jc w:val="center"/>
              <w:rPr>
                <w:sz w:val="24"/>
              </w:rPr>
            </w:pPr>
            <w:r w:rsidRPr="00D73C3D">
              <w:rPr>
                <w:sz w:val="24"/>
              </w:rPr>
              <w:t>Score</w:t>
            </w:r>
          </w:p>
        </w:tc>
      </w:tr>
      <w:tr w:rsidR="000A53BF" w14:paraId="3EE2D6DF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15544F" w14:textId="43E48EA1" w:rsidR="000A53BF" w:rsidRPr="00D73C3D" w:rsidRDefault="001D4542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E0412">
              <w:rPr>
                <w:sz w:val="24"/>
              </w:rPr>
              <w:t xml:space="preserve"> (8.14)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01C1D" w14:textId="5117056A" w:rsidR="000A53BF" w:rsidRPr="00D73C3D" w:rsidRDefault="006D2304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E0412">
              <w:rPr>
                <w:sz w:val="24"/>
              </w:rPr>
              <w:t>0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534DF7" w14:textId="77777777" w:rsidR="000A53BF" w:rsidRPr="00D73C3D" w:rsidRDefault="000A53BF" w:rsidP="00DF2E76">
            <w:pPr>
              <w:spacing w:after="0"/>
              <w:rPr>
                <w:sz w:val="24"/>
              </w:rPr>
            </w:pPr>
          </w:p>
        </w:tc>
      </w:tr>
      <w:tr w:rsidR="00860A8D" w14:paraId="61F567D9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E2ACFA" w14:textId="74187F3A" w:rsidR="00860A8D" w:rsidRDefault="00EE1650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2E0412">
              <w:rPr>
                <w:sz w:val="24"/>
              </w:rPr>
              <w:t xml:space="preserve"> (10.18)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2D56C" w14:textId="1EE86D7A" w:rsidR="00860A8D" w:rsidRDefault="006D2304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E0412">
              <w:rPr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9291F0" w14:textId="77777777" w:rsidR="00860A8D" w:rsidRPr="00D73C3D" w:rsidRDefault="00860A8D" w:rsidP="00DF2E76">
            <w:pPr>
              <w:spacing w:after="0"/>
              <w:rPr>
                <w:sz w:val="24"/>
              </w:rPr>
            </w:pPr>
          </w:p>
        </w:tc>
      </w:tr>
      <w:tr w:rsidR="00860A8D" w14:paraId="6B9E25A1" w14:textId="77777777" w:rsidTr="00D73C3D">
        <w:trPr>
          <w:jc w:val="center"/>
        </w:trPr>
        <w:tc>
          <w:tcPr>
            <w:tcW w:w="125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DBFE31" w14:textId="6AD5B7B9" w:rsidR="00860A8D" w:rsidRDefault="00EE1650" w:rsidP="00DF2E7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2E0412">
              <w:rPr>
                <w:sz w:val="24"/>
              </w:rPr>
              <w:t xml:space="preserve"> (12.28)</w:t>
            </w: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B36942" w14:textId="34E40D4F" w:rsidR="00860A8D" w:rsidRDefault="006D2304" w:rsidP="00DF2E76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2E0412">
              <w:rPr>
                <w:sz w:val="24"/>
              </w:rPr>
              <w:t>5</w:t>
            </w:r>
          </w:p>
        </w:tc>
        <w:tc>
          <w:tcPr>
            <w:tcW w:w="16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D9B914" w14:textId="77777777" w:rsidR="00860A8D" w:rsidRPr="00D73C3D" w:rsidRDefault="00860A8D" w:rsidP="00DF2E76">
            <w:pPr>
              <w:spacing w:after="0"/>
              <w:rPr>
                <w:sz w:val="24"/>
              </w:rPr>
            </w:pPr>
          </w:p>
        </w:tc>
      </w:tr>
      <w:tr w:rsidR="001D4542" w14:paraId="12749B8E" w14:textId="77777777" w:rsidTr="00DF0605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E34CA" w14:textId="38A28A4E" w:rsidR="001D4542" w:rsidRPr="00D73C3D" w:rsidRDefault="001D4542" w:rsidP="00EE7A96">
            <w:pPr>
              <w:spacing w:after="0"/>
              <w:rPr>
                <w:sz w:val="24"/>
              </w:rPr>
            </w:pPr>
            <w:r w:rsidRPr="00D73C3D">
              <w:rPr>
                <w:sz w:val="24"/>
              </w:rP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DC258A" w14:textId="0472F21A" w:rsidR="001D4542" w:rsidRPr="00D73C3D" w:rsidRDefault="001D4542" w:rsidP="00EE7A96">
            <w:pPr>
              <w:spacing w:after="0"/>
              <w:jc w:val="right"/>
              <w:rPr>
                <w:sz w:val="24"/>
              </w:rPr>
            </w:pPr>
            <w:r w:rsidRPr="00D73C3D">
              <w:rPr>
                <w:sz w:val="24"/>
              </w:rP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98F827" w14:textId="77777777" w:rsidR="001D4542" w:rsidRPr="00D73C3D" w:rsidRDefault="001D4542" w:rsidP="00EE7A96">
            <w:pPr>
              <w:spacing w:after="0"/>
              <w:rPr>
                <w:sz w:val="24"/>
              </w:rPr>
            </w:pPr>
          </w:p>
        </w:tc>
      </w:tr>
    </w:tbl>
    <w:p w14:paraId="3DAD52F0" w14:textId="77777777" w:rsidR="005C6BB0" w:rsidRDefault="005C6BB0" w:rsidP="005C6BB0"/>
    <w:p w14:paraId="3D5396C2" w14:textId="77777777" w:rsidR="005C6BB0" w:rsidRDefault="005C6BB0" w:rsidP="005C6BB0">
      <w:r>
        <w:t>Notes:</w:t>
      </w:r>
    </w:p>
    <w:p w14:paraId="4ACB5496" w14:textId="4DC6FD84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  <w:r w:rsidR="002F78C0">
        <w:t xml:space="preserve"> You are allowed the use of a calculator</w:t>
      </w:r>
      <w:r w:rsidR="00860A8D">
        <w:t>, interest tables</w:t>
      </w:r>
      <w:r w:rsidR="002F78C0">
        <w:t xml:space="preserve"> or </w:t>
      </w:r>
      <w:r w:rsidR="00860A8D">
        <w:t xml:space="preserve">MS Excel </w:t>
      </w:r>
      <w:r w:rsidR="002F78C0">
        <w:t>on this exam</w:t>
      </w:r>
      <w:r w:rsidR="00860A8D">
        <w:t>.</w:t>
      </w:r>
    </w:p>
    <w:p w14:paraId="7578DC99" w14:textId="4CEE802F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  <w:r w:rsidR="007B7A41">
        <w:t xml:space="preserve"> Circle your answers.</w:t>
      </w:r>
    </w:p>
    <w:p w14:paraId="38B3DF2E" w14:textId="77777777" w:rsidR="005C6BB0" w:rsidRDefault="00D15A2B" w:rsidP="005C6BB0">
      <w:pPr>
        <w:numPr>
          <w:ilvl w:val="0"/>
          <w:numId w:val="22"/>
        </w:numPr>
      </w:pPr>
      <w:r>
        <w:t>The details of your solutions are more important than the answers. Please explain your solutions clearly and include as many details as possible.</w:t>
      </w:r>
    </w:p>
    <w:p w14:paraId="1BF883D1" w14:textId="7FA780D5" w:rsidR="00CA09D8" w:rsidRDefault="006D2304" w:rsidP="006D2304">
      <w:pPr>
        <w:pStyle w:val="ListParagraph"/>
        <w:pageBreakBefore/>
        <w:widowControl w:val="0"/>
        <w:numPr>
          <w:ilvl w:val="1"/>
          <w:numId w:val="37"/>
        </w:numPr>
        <w:tabs>
          <w:tab w:val="left" w:pos="540"/>
        </w:tabs>
        <w:overflowPunct/>
        <w:ind w:left="446" w:hanging="446"/>
        <w:jc w:val="left"/>
        <w:textAlignment w:val="auto"/>
      </w:pPr>
      <w:r w:rsidRPr="006D2304">
        <w:rPr>
          <w:szCs w:val="22"/>
        </w:rPr>
        <w:t xml:space="preserve"> </w:t>
      </w:r>
      <w:r w:rsidR="00CA09D8" w:rsidRPr="006D2304">
        <w:rPr>
          <w:szCs w:val="22"/>
        </w:rPr>
        <w:t>Consider the two one-shot investment alternatives shown in the table below.</w:t>
      </w:r>
      <w:r>
        <w:rPr>
          <w:szCs w:val="22"/>
        </w:rPr>
        <w:t xml:space="preserve"> </w:t>
      </w:r>
      <w:r w:rsidRPr="006D2304">
        <w:t xml:space="preserve">An investment has the following cash flow profile. </w:t>
      </w:r>
      <w:r>
        <w:t>Assume a MARR of 12%. W</w:t>
      </w:r>
      <w:r w:rsidRPr="006D2304">
        <w:t>hat is the minimum value of X such that the investment is attractive based on an internal rate of return measure of merit?</w:t>
      </w:r>
    </w:p>
    <w:tbl>
      <w:tblPr>
        <w:tblStyle w:val="TableGrid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1443"/>
        <w:gridCol w:w="1235"/>
        <w:gridCol w:w="1236"/>
        <w:gridCol w:w="1235"/>
        <w:gridCol w:w="1236"/>
        <w:gridCol w:w="1236"/>
      </w:tblGrid>
      <w:tr w:rsidR="006D2304" w14:paraId="144AA6B8" w14:textId="5FC2C0D6" w:rsidTr="006D2304">
        <w:trPr>
          <w:jc w:val="center"/>
        </w:trPr>
        <w:tc>
          <w:tcPr>
            <w:tcW w:w="1443" w:type="dxa"/>
          </w:tcPr>
          <w:p w14:paraId="7D06C643" w14:textId="7FC62267" w:rsidR="006D2304" w:rsidRPr="00CA09D8" w:rsidRDefault="006D2304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End of Year</w:t>
            </w:r>
          </w:p>
        </w:tc>
        <w:tc>
          <w:tcPr>
            <w:tcW w:w="1235" w:type="dxa"/>
          </w:tcPr>
          <w:p w14:paraId="07F0E6D3" w14:textId="72F434A4" w:rsidR="006D2304" w:rsidRPr="00CA09D8" w:rsidRDefault="006D2304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0</w:t>
            </w:r>
          </w:p>
        </w:tc>
        <w:tc>
          <w:tcPr>
            <w:tcW w:w="1236" w:type="dxa"/>
          </w:tcPr>
          <w:p w14:paraId="3FD3ECDE" w14:textId="1D946C8B" w:rsidR="006D2304" w:rsidRPr="00CA09D8" w:rsidRDefault="006D2304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1</w:t>
            </w:r>
          </w:p>
        </w:tc>
        <w:tc>
          <w:tcPr>
            <w:tcW w:w="1235" w:type="dxa"/>
          </w:tcPr>
          <w:p w14:paraId="4032CDAD" w14:textId="6214D8CD" w:rsidR="006D2304" w:rsidRPr="00CA09D8" w:rsidRDefault="006D2304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2</w:t>
            </w:r>
          </w:p>
        </w:tc>
        <w:tc>
          <w:tcPr>
            <w:tcW w:w="1236" w:type="dxa"/>
          </w:tcPr>
          <w:p w14:paraId="78093532" w14:textId="54CE152D" w:rsidR="006D2304" w:rsidRPr="00CA09D8" w:rsidRDefault="006D2304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 w:rsidRPr="00CA09D8">
              <w:rPr>
                <w:b/>
              </w:rPr>
              <w:t>3</w:t>
            </w:r>
          </w:p>
        </w:tc>
        <w:tc>
          <w:tcPr>
            <w:tcW w:w="1236" w:type="dxa"/>
          </w:tcPr>
          <w:p w14:paraId="4D6CC714" w14:textId="17D8249D" w:rsidR="006D2304" w:rsidRPr="00CA09D8" w:rsidRDefault="006D2304" w:rsidP="00CA09D8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2304" w14:paraId="1993AB6D" w14:textId="611E3556" w:rsidTr="006D2304">
        <w:trPr>
          <w:trHeight w:val="251"/>
          <w:jc w:val="center"/>
        </w:trPr>
        <w:tc>
          <w:tcPr>
            <w:tcW w:w="1443" w:type="dxa"/>
          </w:tcPr>
          <w:p w14:paraId="0EEA9586" w14:textId="264FB70F" w:rsidR="006D2304" w:rsidRPr="00CA09D8" w:rsidRDefault="006D2304" w:rsidP="006D2304">
            <w:pPr>
              <w:widowControl w:val="0"/>
              <w:overflowPunct/>
              <w:spacing w:after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Cash Flow</w:t>
            </w:r>
          </w:p>
        </w:tc>
        <w:tc>
          <w:tcPr>
            <w:tcW w:w="1235" w:type="dxa"/>
          </w:tcPr>
          <w:p w14:paraId="5876DD64" w14:textId="23F7F586" w:rsidR="006D2304" w:rsidRDefault="006D2304" w:rsidP="006D2304">
            <w:pPr>
              <w:widowControl w:val="0"/>
              <w:overflowPunct/>
              <w:spacing w:after="0"/>
              <w:jc w:val="right"/>
              <w:textAlignment w:val="auto"/>
            </w:pPr>
            <w:r>
              <w:t>-$30,000</w:t>
            </w:r>
          </w:p>
        </w:tc>
        <w:tc>
          <w:tcPr>
            <w:tcW w:w="1236" w:type="dxa"/>
          </w:tcPr>
          <w:p w14:paraId="63182981" w14:textId="6E4F9D46" w:rsidR="006D2304" w:rsidRDefault="006D2304" w:rsidP="006D2304">
            <w:pPr>
              <w:widowControl w:val="0"/>
              <w:overflowPunct/>
              <w:spacing w:after="0"/>
              <w:jc w:val="right"/>
              <w:textAlignment w:val="auto"/>
            </w:pPr>
            <w:r>
              <w:t>$6,000</w:t>
            </w:r>
          </w:p>
        </w:tc>
        <w:tc>
          <w:tcPr>
            <w:tcW w:w="1235" w:type="dxa"/>
          </w:tcPr>
          <w:p w14:paraId="30FD3472" w14:textId="76533ED6" w:rsidR="006D2304" w:rsidRDefault="006D2304" w:rsidP="006D2304">
            <w:pPr>
              <w:widowControl w:val="0"/>
              <w:overflowPunct/>
              <w:spacing w:after="0"/>
              <w:jc w:val="right"/>
              <w:textAlignment w:val="auto"/>
            </w:pPr>
            <w:r>
              <w:t>$13,500</w:t>
            </w:r>
          </w:p>
        </w:tc>
        <w:tc>
          <w:tcPr>
            <w:tcW w:w="1236" w:type="dxa"/>
          </w:tcPr>
          <w:p w14:paraId="7CD1D98B" w14:textId="47A582C4" w:rsidR="006D2304" w:rsidRDefault="006D2304" w:rsidP="006D2304">
            <w:pPr>
              <w:widowControl w:val="0"/>
              <w:overflowPunct/>
              <w:spacing w:after="0"/>
              <w:jc w:val="right"/>
              <w:textAlignment w:val="auto"/>
            </w:pPr>
            <w:r>
              <w:t>$X</w:t>
            </w:r>
          </w:p>
        </w:tc>
        <w:tc>
          <w:tcPr>
            <w:tcW w:w="1236" w:type="dxa"/>
          </w:tcPr>
          <w:p w14:paraId="5EF113BC" w14:textId="07957B75" w:rsidR="006D2304" w:rsidRDefault="006D2304" w:rsidP="006D2304">
            <w:pPr>
              <w:widowControl w:val="0"/>
              <w:overflowPunct/>
              <w:spacing w:after="0"/>
              <w:jc w:val="right"/>
              <w:textAlignment w:val="auto"/>
            </w:pPr>
            <w:r>
              <w:t>$13,500</w:t>
            </w:r>
          </w:p>
        </w:tc>
      </w:tr>
    </w:tbl>
    <w:p w14:paraId="72E2DFD3" w14:textId="4CA75E3F" w:rsidR="007418CA" w:rsidRDefault="007418CA" w:rsidP="00CA09D8">
      <w:pPr>
        <w:tabs>
          <w:tab w:val="left" w:pos="540"/>
        </w:tabs>
      </w:pPr>
    </w:p>
    <w:p w14:paraId="055D0444" w14:textId="0A2213AD" w:rsidR="00144663" w:rsidRDefault="002E0412" w:rsidP="002E0412">
      <w:pPr>
        <w:pageBreakBefore/>
        <w:widowControl w:val="0"/>
        <w:tabs>
          <w:tab w:val="left" w:pos="540"/>
        </w:tabs>
        <w:overflowPunct/>
        <w:jc w:val="left"/>
        <w:textAlignment w:val="auto"/>
        <w:rPr>
          <w:szCs w:val="22"/>
        </w:rPr>
      </w:pPr>
      <w:r w:rsidRPr="002E0412">
        <w:rPr>
          <w:b/>
          <w:szCs w:val="22"/>
        </w:rPr>
        <w:t>10.18</w:t>
      </w:r>
      <w:r w:rsidR="00144663" w:rsidRPr="002E0412">
        <w:rPr>
          <w:b/>
          <w:szCs w:val="22"/>
        </w:rPr>
        <w:t>.</w:t>
      </w:r>
      <w:r>
        <w:rPr>
          <w:szCs w:val="22"/>
        </w:rPr>
        <w:t xml:space="preserve"> </w:t>
      </w:r>
      <w:r w:rsidRPr="002E0412">
        <w:rPr>
          <w:szCs w:val="22"/>
        </w:rPr>
        <w:t>Raytheon wishes to use an automated environmental chamber in the manufacture of electronic components. The chamber is to be used for rigorous reliability testing and burn-in. It is installed for $1.4 million and will have a salvage value of $200,000 after 8 years. Its use will create an opportunity to increase sales by $650,000 per year and will have operating expenses of $250,000 per year. Corporate income taxes are 40 percent. Develop tables using a spreadsheet to determine the ATCF for each year and the after-tax PW, AW, IRR, and ERR if the chamber is kept for 8 years. After-tax MARR is 10 percent.</w:t>
      </w:r>
      <w:r>
        <w:rPr>
          <w:szCs w:val="22"/>
        </w:rPr>
        <w:t xml:space="preserve"> Use straight-line depreciation (no half-year convention). </w:t>
      </w:r>
    </w:p>
    <w:p w14:paraId="77FE0CC2" w14:textId="578A45AD" w:rsidR="002E0412" w:rsidRPr="002E0412" w:rsidRDefault="002E0412" w:rsidP="002E0412">
      <w:pPr>
        <w:pageBreakBefore/>
        <w:widowControl w:val="0"/>
        <w:tabs>
          <w:tab w:val="left" w:pos="540"/>
        </w:tabs>
        <w:overflowPunct/>
        <w:jc w:val="left"/>
        <w:textAlignment w:val="auto"/>
        <w:rPr>
          <w:b/>
          <w:szCs w:val="22"/>
        </w:rPr>
      </w:pPr>
      <w:r>
        <w:rPr>
          <w:b/>
          <w:szCs w:val="22"/>
        </w:rPr>
        <w:t>12.28</w:t>
      </w:r>
      <w:r w:rsidR="00F3446C" w:rsidRPr="00F3446C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2E0412">
        <w:rPr>
          <w:szCs w:val="22"/>
        </w:rPr>
        <w:t>The winner of a lottery is given a choice of $1,000,000 cash today or $2,000,000 paid out as follows: $100,000 cash per year for 20 years with the first payment today and 19 subsequent annual payments thereafter. The inflation rate is expected to be constant at 4 percent/year over the award period, and the winner’s TVOM (real interest rate) is</w:t>
      </w:r>
      <w:r>
        <w:rPr>
          <w:szCs w:val="22"/>
        </w:rPr>
        <w:t xml:space="preserve"> </w:t>
      </w:r>
      <w:r w:rsidRPr="002E0412">
        <w:rPr>
          <w:szCs w:val="22"/>
        </w:rPr>
        <w:t>3.5 percent/year.</w:t>
      </w:r>
      <w:r>
        <w:rPr>
          <w:szCs w:val="22"/>
        </w:rPr>
        <w:t xml:space="preserve"> </w:t>
      </w:r>
      <w:r w:rsidRPr="002E0412">
        <w:rPr>
          <w:szCs w:val="22"/>
        </w:rPr>
        <w:t>Which choice is better for the winner? Neglect the effect of taxes, life span, and uncertainty.</w:t>
      </w:r>
      <w:r>
        <w:rPr>
          <w:szCs w:val="22"/>
        </w:rPr>
        <w:t xml:space="preserve"> Be sure to show your work and explain why… no credit will be given for guessing.</w:t>
      </w:r>
    </w:p>
    <w:sectPr w:rsidR="002E0412" w:rsidRPr="002E0412" w:rsidSect="00BF09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21120" w14:textId="77777777" w:rsidR="00DF0605" w:rsidRDefault="00DF0605">
      <w:r>
        <w:separator/>
      </w:r>
    </w:p>
  </w:endnote>
  <w:endnote w:type="continuationSeparator" w:id="0">
    <w:p w14:paraId="77F1B6BC" w14:textId="77777777" w:rsidR="00DF0605" w:rsidRDefault="00DF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997" w14:textId="65BAD811" w:rsidR="00DF0605" w:rsidRPr="005C6BB0" w:rsidRDefault="00DF060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E712" w14:textId="77777777" w:rsidR="00DF0605" w:rsidRDefault="00DF0605">
      <w:r>
        <w:separator/>
      </w:r>
    </w:p>
  </w:footnote>
  <w:footnote w:type="continuationSeparator" w:id="0">
    <w:p w14:paraId="6506C36E" w14:textId="77777777" w:rsidR="00DF0605" w:rsidRDefault="00DF0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280" w14:textId="474508C4" w:rsidR="00DF0605" w:rsidRPr="005C6BB0" w:rsidRDefault="00DF0605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ECE </w:t>
    </w:r>
    <w:r>
      <w:rPr>
        <w:rFonts w:ascii="Arial" w:hAnsi="Arial" w:cs="Arial"/>
        <w:sz w:val="16"/>
        <w:szCs w:val="16"/>
      </w:rPr>
      <w:t>3096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3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0E2C73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34E5A"/>
    <w:multiLevelType w:val="hybridMultilevel"/>
    <w:tmpl w:val="614653DC"/>
    <w:lvl w:ilvl="0" w:tplc="05922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9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2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B3122A"/>
    <w:multiLevelType w:val="multilevel"/>
    <w:tmpl w:val="B0B0FEF8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5"/>
  </w:num>
  <w:num w:numId="7">
    <w:abstractNumId w:val="31"/>
  </w:num>
  <w:num w:numId="8">
    <w:abstractNumId w:val="18"/>
  </w:num>
  <w:num w:numId="9">
    <w:abstractNumId w:val="22"/>
  </w:num>
  <w:num w:numId="10">
    <w:abstractNumId w:val="9"/>
  </w:num>
  <w:num w:numId="11">
    <w:abstractNumId w:val="16"/>
  </w:num>
  <w:num w:numId="12">
    <w:abstractNumId w:val="20"/>
  </w:num>
  <w:num w:numId="13">
    <w:abstractNumId w:val="35"/>
  </w:num>
  <w:num w:numId="14">
    <w:abstractNumId w:val="27"/>
  </w:num>
  <w:num w:numId="15">
    <w:abstractNumId w:val="29"/>
  </w:num>
  <w:num w:numId="16">
    <w:abstractNumId w:val="19"/>
  </w:num>
  <w:num w:numId="17">
    <w:abstractNumId w:val="8"/>
  </w:num>
  <w:num w:numId="18">
    <w:abstractNumId w:val="10"/>
  </w:num>
  <w:num w:numId="19">
    <w:abstractNumId w:val="34"/>
  </w:num>
  <w:num w:numId="20">
    <w:abstractNumId w:val="0"/>
  </w:num>
  <w:num w:numId="21">
    <w:abstractNumId w:val="25"/>
  </w:num>
  <w:num w:numId="22">
    <w:abstractNumId w:val="32"/>
  </w:num>
  <w:num w:numId="23">
    <w:abstractNumId w:val="23"/>
  </w:num>
  <w:num w:numId="24">
    <w:abstractNumId w:val="30"/>
  </w:num>
  <w:num w:numId="25">
    <w:abstractNumId w:val="28"/>
  </w:num>
  <w:num w:numId="26">
    <w:abstractNumId w:val="4"/>
  </w:num>
  <w:num w:numId="27">
    <w:abstractNumId w:val="2"/>
  </w:num>
  <w:num w:numId="28">
    <w:abstractNumId w:val="36"/>
  </w:num>
  <w:num w:numId="29">
    <w:abstractNumId w:val="6"/>
  </w:num>
  <w:num w:numId="30">
    <w:abstractNumId w:val="3"/>
  </w:num>
  <w:num w:numId="31">
    <w:abstractNumId w:val="13"/>
  </w:num>
  <w:num w:numId="32">
    <w:abstractNumId w:val="14"/>
  </w:num>
  <w:num w:numId="33">
    <w:abstractNumId w:val="24"/>
  </w:num>
  <w:num w:numId="34">
    <w:abstractNumId w:val="21"/>
  </w:num>
  <w:num w:numId="35">
    <w:abstractNumId w:val="7"/>
  </w:num>
  <w:num w:numId="36">
    <w:abstractNumId w:val="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12E3C"/>
    <w:rsid w:val="00052A2B"/>
    <w:rsid w:val="000A53BF"/>
    <w:rsid w:val="000E2C73"/>
    <w:rsid w:val="0010051C"/>
    <w:rsid w:val="0011683C"/>
    <w:rsid w:val="00135C7D"/>
    <w:rsid w:val="00141DD1"/>
    <w:rsid w:val="00144663"/>
    <w:rsid w:val="001515C5"/>
    <w:rsid w:val="00165911"/>
    <w:rsid w:val="001675EF"/>
    <w:rsid w:val="001D4071"/>
    <w:rsid w:val="001D4542"/>
    <w:rsid w:val="001E2C95"/>
    <w:rsid w:val="002065B8"/>
    <w:rsid w:val="00206E4A"/>
    <w:rsid w:val="002123D2"/>
    <w:rsid w:val="00216F5D"/>
    <w:rsid w:val="002E0412"/>
    <w:rsid w:val="002F78C0"/>
    <w:rsid w:val="00335E8A"/>
    <w:rsid w:val="003629DF"/>
    <w:rsid w:val="00362F92"/>
    <w:rsid w:val="003701B5"/>
    <w:rsid w:val="00393C56"/>
    <w:rsid w:val="003A0524"/>
    <w:rsid w:val="003F169C"/>
    <w:rsid w:val="0040032B"/>
    <w:rsid w:val="004049A0"/>
    <w:rsid w:val="00416BEF"/>
    <w:rsid w:val="004527E4"/>
    <w:rsid w:val="004568B1"/>
    <w:rsid w:val="00497960"/>
    <w:rsid w:val="004C0F57"/>
    <w:rsid w:val="004D6F32"/>
    <w:rsid w:val="00503C14"/>
    <w:rsid w:val="00520BDC"/>
    <w:rsid w:val="00521EB2"/>
    <w:rsid w:val="00561C2C"/>
    <w:rsid w:val="00597070"/>
    <w:rsid w:val="005C6BB0"/>
    <w:rsid w:val="005D629D"/>
    <w:rsid w:val="0063252B"/>
    <w:rsid w:val="0069112F"/>
    <w:rsid w:val="006A663A"/>
    <w:rsid w:val="006D2304"/>
    <w:rsid w:val="006D34E7"/>
    <w:rsid w:val="006D5040"/>
    <w:rsid w:val="006F5529"/>
    <w:rsid w:val="007047CB"/>
    <w:rsid w:val="0071125E"/>
    <w:rsid w:val="007153CD"/>
    <w:rsid w:val="007418CA"/>
    <w:rsid w:val="00746974"/>
    <w:rsid w:val="00755331"/>
    <w:rsid w:val="007A7F12"/>
    <w:rsid w:val="007B7A41"/>
    <w:rsid w:val="007F4C83"/>
    <w:rsid w:val="0082484B"/>
    <w:rsid w:val="008523CD"/>
    <w:rsid w:val="00860A8D"/>
    <w:rsid w:val="0088527D"/>
    <w:rsid w:val="008E2D22"/>
    <w:rsid w:val="00961DDD"/>
    <w:rsid w:val="0099012E"/>
    <w:rsid w:val="009970D7"/>
    <w:rsid w:val="009F27CC"/>
    <w:rsid w:val="00A14916"/>
    <w:rsid w:val="00A34FF2"/>
    <w:rsid w:val="00A92CC4"/>
    <w:rsid w:val="00AD7973"/>
    <w:rsid w:val="00B23799"/>
    <w:rsid w:val="00B53402"/>
    <w:rsid w:val="00BC35B3"/>
    <w:rsid w:val="00BF0920"/>
    <w:rsid w:val="00C26CE6"/>
    <w:rsid w:val="00CA09D8"/>
    <w:rsid w:val="00CE5BA3"/>
    <w:rsid w:val="00D06B03"/>
    <w:rsid w:val="00D15A2B"/>
    <w:rsid w:val="00D72FE0"/>
    <w:rsid w:val="00D73C3D"/>
    <w:rsid w:val="00D81D27"/>
    <w:rsid w:val="00DD75E0"/>
    <w:rsid w:val="00DF0605"/>
    <w:rsid w:val="00DF2E76"/>
    <w:rsid w:val="00E14424"/>
    <w:rsid w:val="00E16CD1"/>
    <w:rsid w:val="00E55067"/>
    <w:rsid w:val="00E73480"/>
    <w:rsid w:val="00EE1650"/>
    <w:rsid w:val="00EE7A96"/>
    <w:rsid w:val="00F2050A"/>
    <w:rsid w:val="00F3446C"/>
    <w:rsid w:val="00F469E1"/>
    <w:rsid w:val="00F53232"/>
    <w:rsid w:val="00F66F7A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2F8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3171-68B5-5C44-9402-79302C2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2013-04-25T16:35:00Z</cp:lastPrinted>
  <dcterms:created xsi:type="dcterms:W3CDTF">2013-04-25T16:34:00Z</dcterms:created>
  <dcterms:modified xsi:type="dcterms:W3CDTF">2013-04-25T16:35:00Z</dcterms:modified>
</cp:coreProperties>
</file>