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1" w:name="end_of_document"/>
      <w:bookmarkEnd w:id="1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648D2A42" w14:textId="48087B09" w:rsidR="00654A6B" w:rsidRPr="00654A6B" w:rsidRDefault="00654A6B" w:rsidP="00654A6B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>
        <w:rPr>
          <w:szCs w:val="22"/>
        </w:rPr>
        <w:t xml:space="preserve">Example 11.5: </w:t>
      </w:r>
      <w:r w:rsidRPr="00654A6B">
        <w:rPr>
          <w:szCs w:val="22"/>
        </w:rPr>
        <w:t>Now, let’s examine the effect of income taxes on the replacement of the SMP machine. Recall from Example 11.1, the defender was purchased 10 years ago. Since SMP machines qualify as 5-year property, the defender is fully depreciated (i.e., its book value is 0). If the defender is replaced, it will have a market value of $50,000. If it is retained for another 5 years, it will have a negligible salvage value. Operating and maintenance costs for the defender can be represented by a $5,000 gradient series added to a uniform series of $120,000.</w:t>
      </w:r>
    </w:p>
    <w:p w14:paraId="169B2356" w14:textId="77777777" w:rsidR="00654A6B" w:rsidRPr="00654A6B" w:rsidRDefault="00654A6B" w:rsidP="00654A6B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 w:rsidRPr="00654A6B">
        <w:rPr>
          <w:szCs w:val="22"/>
        </w:rPr>
        <w:t>The challenger has a cost basis of $500,000. O&amp;M costs for the challenger can be represented by a $5,000 gradient series added to a uniform series of $10,000. At the end of the 5-year planning horizon, the challenger will have a salvage value of $200,000.</w:t>
      </w:r>
    </w:p>
    <w:p w14:paraId="42402348" w14:textId="77777777" w:rsidR="00654A6B" w:rsidRDefault="00654A6B" w:rsidP="00654A6B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24FF2" wp14:editId="158FF5BF">
                <wp:simplePos x="0" y="0"/>
                <wp:positionH relativeFrom="column">
                  <wp:posOffset>13335</wp:posOffset>
                </wp:positionH>
                <wp:positionV relativeFrom="paragraph">
                  <wp:posOffset>711835</wp:posOffset>
                </wp:positionV>
                <wp:extent cx="4191000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5B7C6" w14:textId="62F424A2" w:rsidR="00654A6B" w:rsidRDefault="00654A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E33B7" wp14:editId="2AFE586B">
                                  <wp:extent cx="3518114" cy="125137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3-04-18 at 11.39.55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8567" cy="1251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99F545" w14:textId="122FECE6" w:rsidR="00654A6B" w:rsidRDefault="00654A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FEA54" wp14:editId="67D6E44E">
                                  <wp:extent cx="2045335" cy="1139722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3-04-18 at 11.41.17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5504" cy="1139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.05pt;margin-top:56.05pt;width:330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OtrcwCAAAP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" filled="f" stroked="f">
                <v:textbox>
                  <w:txbxContent>
                    <w:p w14:paraId="6AF5B7C6" w14:textId="62F424A2" w:rsidR="00654A6B" w:rsidRDefault="00654A6B">
                      <w:r>
                        <w:rPr>
                          <w:noProof/>
                        </w:rPr>
                        <w:drawing>
                          <wp:inline distT="0" distB="0" distL="0" distR="0" wp14:anchorId="4B2E33B7" wp14:editId="2AFE586B">
                            <wp:extent cx="3518114" cy="125137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3-04-18 at 11.39.55 P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8567" cy="1251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99F545" w14:textId="122FECE6" w:rsidR="00654A6B" w:rsidRDefault="00654A6B">
                      <w:r>
                        <w:rPr>
                          <w:noProof/>
                        </w:rPr>
                        <w:drawing>
                          <wp:inline distT="0" distB="0" distL="0" distR="0" wp14:anchorId="539FEA54" wp14:editId="67D6E44E">
                            <wp:extent cx="2045335" cy="1139722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3-04-18 at 11.41.17 PM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5504" cy="1139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4A6B">
        <w:rPr>
          <w:szCs w:val="22"/>
        </w:rPr>
        <w:t>Based on a 40 percent income tax rate, MACRS-GDS 5-year property for both the defender and the challenger, and a 10 percent after-tax MARR, use an after-tax equivalent uniform annual cost analysis to determine if the defender should be replaced.</w:t>
      </w:r>
      <w:r w:rsidR="00A54C45" w:rsidRPr="00654A6B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  <w:r w:rsidR="00A54C45" w:rsidRPr="00074B54">
        <w:rPr>
          <w:szCs w:val="22"/>
        </w:rPr>
        <w:br/>
      </w:r>
    </w:p>
    <w:p w14:paraId="6450E45C" w14:textId="3196590C" w:rsidR="0077482A" w:rsidRPr="00654A6B" w:rsidRDefault="00A54C45" w:rsidP="00654A6B">
      <w:pPr>
        <w:widowControl w:val="0"/>
        <w:overflowPunct/>
        <w:spacing w:before="240" w:after="0"/>
        <w:jc w:val="left"/>
        <w:textAlignment w:val="auto"/>
        <w:rPr>
          <w:rFonts w:ascii="Thorndale for VST" w:hAnsi="Thorndale for VST" w:cs="Thorndale for VST"/>
          <w:sz w:val="24"/>
          <w:szCs w:val="24"/>
        </w:rPr>
      </w:pP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  <w:r w:rsidRPr="00074B54">
        <w:rPr>
          <w:szCs w:val="22"/>
        </w:rPr>
        <w:br/>
      </w:r>
    </w:p>
    <w:p w14:paraId="4F3B20D0" w14:textId="422490E8" w:rsidR="00A54C45" w:rsidRDefault="00A54C45" w:rsidP="00A54C45"/>
    <w:sectPr w:rsidR="00A54C45" w:rsidSect="00BF0920">
      <w:headerReference w:type="even" r:id="rId13"/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134462" w:rsidRDefault="00134462">
      <w:r>
        <w:separator/>
      </w:r>
    </w:p>
  </w:endnote>
  <w:endnote w:type="continuationSeparator" w:id="0">
    <w:p w14:paraId="6124C30F" w14:textId="77777777" w:rsidR="00134462" w:rsidRDefault="001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orndale for VS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3C95B46E" w:rsidR="00134462" w:rsidRPr="005C6BB0" w:rsidRDefault="00134462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134462" w:rsidRDefault="00134462">
      <w:r>
        <w:separator/>
      </w:r>
    </w:p>
  </w:footnote>
  <w:footnote w:type="continuationSeparator" w:id="0">
    <w:p w14:paraId="59C9A237" w14:textId="77777777" w:rsidR="00134462" w:rsidRDefault="00134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134462" w:rsidRDefault="00134462" w:rsidP="001344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134462" w:rsidRDefault="00134462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134462" w:rsidRDefault="00134462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134462" w:rsidRDefault="00134462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45E33C0C" w:rsidR="00134462" w:rsidRPr="005C6BB0" w:rsidRDefault="00134462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654A6B">
      <w:rPr>
        <w:rFonts w:ascii="Arial" w:hAnsi="Arial" w:cs="Arial"/>
        <w:sz w:val="16"/>
        <w:szCs w:val="16"/>
      </w:rPr>
      <w:t>QUIZ NO. 10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8C676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8C676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B8C0594"/>
    <w:multiLevelType w:val="hybridMultilevel"/>
    <w:tmpl w:val="9B94F07C"/>
    <w:lvl w:ilvl="0" w:tplc="2126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6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5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4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6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379"/>
    <w:rsid w:val="00012E3C"/>
    <w:rsid w:val="0004552B"/>
    <w:rsid w:val="00052A2B"/>
    <w:rsid w:val="00074B54"/>
    <w:rsid w:val="000851FD"/>
    <w:rsid w:val="000A53BF"/>
    <w:rsid w:val="000B6683"/>
    <w:rsid w:val="000D3F98"/>
    <w:rsid w:val="0010051C"/>
    <w:rsid w:val="0011683C"/>
    <w:rsid w:val="00134462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576DF"/>
    <w:rsid w:val="004A7A64"/>
    <w:rsid w:val="004C0F57"/>
    <w:rsid w:val="004D6F32"/>
    <w:rsid w:val="00503C14"/>
    <w:rsid w:val="00520BDC"/>
    <w:rsid w:val="00537B3A"/>
    <w:rsid w:val="0055014C"/>
    <w:rsid w:val="00561C2C"/>
    <w:rsid w:val="0058205C"/>
    <w:rsid w:val="00597070"/>
    <w:rsid w:val="005C6BB0"/>
    <w:rsid w:val="00601115"/>
    <w:rsid w:val="0063252B"/>
    <w:rsid w:val="00650FA5"/>
    <w:rsid w:val="00654A6B"/>
    <w:rsid w:val="006560FD"/>
    <w:rsid w:val="0069112F"/>
    <w:rsid w:val="006D34E7"/>
    <w:rsid w:val="0071125E"/>
    <w:rsid w:val="007145DA"/>
    <w:rsid w:val="007153CD"/>
    <w:rsid w:val="00732DB4"/>
    <w:rsid w:val="00746974"/>
    <w:rsid w:val="00755331"/>
    <w:rsid w:val="00764B42"/>
    <w:rsid w:val="0077482A"/>
    <w:rsid w:val="007F4C83"/>
    <w:rsid w:val="00812D6F"/>
    <w:rsid w:val="0082484B"/>
    <w:rsid w:val="00827128"/>
    <w:rsid w:val="008523CD"/>
    <w:rsid w:val="00882994"/>
    <w:rsid w:val="0088527D"/>
    <w:rsid w:val="008874C2"/>
    <w:rsid w:val="008C6769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2D0"/>
    <w:rsid w:val="00AD2C25"/>
    <w:rsid w:val="00AD7973"/>
    <w:rsid w:val="00B131D4"/>
    <w:rsid w:val="00B23799"/>
    <w:rsid w:val="00B426CA"/>
    <w:rsid w:val="00B53402"/>
    <w:rsid w:val="00B57FFE"/>
    <w:rsid w:val="00B7256F"/>
    <w:rsid w:val="00BC35B3"/>
    <w:rsid w:val="00BC6488"/>
    <w:rsid w:val="00BF0920"/>
    <w:rsid w:val="00C26CE6"/>
    <w:rsid w:val="00C532BA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00B3"/>
    <w:rsid w:val="00DA1569"/>
    <w:rsid w:val="00DB1DE6"/>
    <w:rsid w:val="00DF28F3"/>
    <w:rsid w:val="00E04E97"/>
    <w:rsid w:val="00E14424"/>
    <w:rsid w:val="00E16CD1"/>
    <w:rsid w:val="00E55067"/>
    <w:rsid w:val="00E73480"/>
    <w:rsid w:val="00EA6BE1"/>
    <w:rsid w:val="00EE785C"/>
    <w:rsid w:val="00EE7A96"/>
    <w:rsid w:val="00F008C4"/>
    <w:rsid w:val="00F2050A"/>
    <w:rsid w:val="00F23443"/>
    <w:rsid w:val="00F469E1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image" Target="media/image20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4356-6905-7E40-908C-26ECC4DF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2013-04-19T11:04:00Z</cp:lastPrinted>
  <dcterms:created xsi:type="dcterms:W3CDTF">2013-04-19T03:43:00Z</dcterms:created>
  <dcterms:modified xsi:type="dcterms:W3CDTF">2013-04-19T11:04:00Z</dcterms:modified>
</cp:coreProperties>
</file>