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45EE" w14:textId="77777777" w:rsidR="005C6BB0" w:rsidRDefault="005C6BB0" w:rsidP="005C6BB0">
      <w:bookmarkStart w:id="0" w:name="_GoBack"/>
      <w:bookmarkEnd w:id="0"/>
      <w:r>
        <w:t xml:space="preserve">Name:  </w:t>
      </w:r>
      <w:r w:rsidRPr="005C6BB0">
        <w:rPr>
          <w:u w:val="single"/>
        </w:rPr>
        <w:t xml:space="preserve">                                                                                                  </w:t>
      </w:r>
      <w:r>
        <w:t xml:space="preserve"> </w:t>
      </w:r>
    </w:p>
    <w:p w14:paraId="49C4A87B" w14:textId="77777777" w:rsidR="005C6BB0" w:rsidRDefault="005C6BB0" w:rsidP="005C6BB0">
      <w:pPr>
        <w:jc w:val="left"/>
      </w:pPr>
    </w:p>
    <w:p w14:paraId="18805B8A" w14:textId="77777777" w:rsidR="005C6BB0" w:rsidRDefault="005C6BB0" w:rsidP="00DC3AB6"/>
    <w:tbl>
      <w:tblPr>
        <w:tblStyle w:val="TableGrid"/>
        <w:tblW w:w="0" w:type="auto"/>
        <w:jc w:val="center"/>
        <w:tblLook w:val="00A0" w:firstRow="1" w:lastRow="0" w:firstColumn="1" w:lastColumn="0" w:noHBand="0" w:noVBand="0"/>
      </w:tblPr>
      <w:tblGrid>
        <w:gridCol w:w="1253"/>
        <w:gridCol w:w="1080"/>
        <w:gridCol w:w="1620"/>
      </w:tblGrid>
      <w:tr w:rsidR="005C6BB0" w14:paraId="7397A156" w14:textId="77777777" w:rsidTr="00D73C3D">
        <w:trPr>
          <w:jc w:val="center"/>
        </w:trPr>
        <w:tc>
          <w:tcPr>
            <w:tcW w:w="1253" w:type="dxa"/>
            <w:tcMar>
              <w:top w:w="72" w:type="dxa"/>
              <w:left w:w="115" w:type="dxa"/>
              <w:bottom w:w="72" w:type="dxa"/>
              <w:right w:w="115" w:type="dxa"/>
            </w:tcMar>
            <w:vAlign w:val="center"/>
          </w:tcPr>
          <w:p w14:paraId="0F448358" w14:textId="77777777" w:rsidR="005C6BB0" w:rsidRPr="00D73C3D" w:rsidRDefault="005C6BB0" w:rsidP="005C6BB0">
            <w:pPr>
              <w:spacing w:after="0"/>
              <w:jc w:val="center"/>
              <w:rPr>
                <w:sz w:val="24"/>
              </w:rPr>
            </w:pPr>
            <w:r w:rsidRPr="00D73C3D">
              <w:rPr>
                <w:sz w:val="24"/>
              </w:rPr>
              <w:t>Problem</w:t>
            </w:r>
          </w:p>
        </w:tc>
        <w:tc>
          <w:tcPr>
            <w:tcW w:w="1080" w:type="dxa"/>
            <w:tcMar>
              <w:top w:w="72" w:type="dxa"/>
              <w:left w:w="115" w:type="dxa"/>
              <w:bottom w:w="72" w:type="dxa"/>
              <w:right w:w="115" w:type="dxa"/>
            </w:tcMar>
            <w:vAlign w:val="center"/>
          </w:tcPr>
          <w:p w14:paraId="526F8203" w14:textId="77777777" w:rsidR="005C6BB0" w:rsidRPr="00D73C3D" w:rsidRDefault="005C6BB0" w:rsidP="005C6BB0">
            <w:pPr>
              <w:spacing w:after="0"/>
              <w:jc w:val="center"/>
              <w:rPr>
                <w:sz w:val="24"/>
              </w:rPr>
            </w:pPr>
            <w:r w:rsidRPr="00D73C3D">
              <w:rPr>
                <w:sz w:val="24"/>
              </w:rPr>
              <w:t>Points</w:t>
            </w:r>
          </w:p>
        </w:tc>
        <w:tc>
          <w:tcPr>
            <w:tcW w:w="1620" w:type="dxa"/>
            <w:tcMar>
              <w:top w:w="72" w:type="dxa"/>
              <w:left w:w="115" w:type="dxa"/>
              <w:bottom w:w="72" w:type="dxa"/>
              <w:right w:w="115" w:type="dxa"/>
            </w:tcMar>
            <w:vAlign w:val="center"/>
          </w:tcPr>
          <w:p w14:paraId="1ADB8C07" w14:textId="77777777" w:rsidR="005C6BB0" w:rsidRPr="00D73C3D" w:rsidRDefault="005C6BB0" w:rsidP="005C6BB0">
            <w:pPr>
              <w:spacing w:after="0"/>
              <w:jc w:val="center"/>
              <w:rPr>
                <w:sz w:val="24"/>
              </w:rPr>
            </w:pPr>
            <w:r w:rsidRPr="00D73C3D">
              <w:rPr>
                <w:sz w:val="24"/>
              </w:rPr>
              <w:t>Score</w:t>
            </w:r>
          </w:p>
        </w:tc>
      </w:tr>
      <w:tr w:rsidR="000A53BF" w14:paraId="3EE2D6DF" w14:textId="77777777" w:rsidTr="00D73C3D">
        <w:trPr>
          <w:jc w:val="center"/>
        </w:trPr>
        <w:tc>
          <w:tcPr>
            <w:tcW w:w="1253" w:type="dxa"/>
            <w:tcMar>
              <w:top w:w="72" w:type="dxa"/>
              <w:left w:w="115" w:type="dxa"/>
              <w:bottom w:w="72" w:type="dxa"/>
              <w:right w:w="115" w:type="dxa"/>
            </w:tcMar>
          </w:tcPr>
          <w:p w14:paraId="1B15544F" w14:textId="4CAF5772" w:rsidR="000A53BF" w:rsidRPr="00DC3AB6" w:rsidRDefault="001D4542" w:rsidP="00DF2E76">
            <w:pPr>
              <w:spacing w:after="0"/>
              <w:rPr>
                <w:sz w:val="24"/>
              </w:rPr>
            </w:pPr>
            <w:r w:rsidRPr="00DC3AB6">
              <w:rPr>
                <w:sz w:val="24"/>
              </w:rPr>
              <w:t>1</w:t>
            </w:r>
            <w:r w:rsidR="00853FB6" w:rsidRPr="00DC3AB6">
              <w:rPr>
                <w:sz w:val="24"/>
              </w:rPr>
              <w:t>(a)</w:t>
            </w:r>
          </w:p>
        </w:tc>
        <w:tc>
          <w:tcPr>
            <w:tcW w:w="1080" w:type="dxa"/>
            <w:tcMar>
              <w:top w:w="72" w:type="dxa"/>
              <w:left w:w="115" w:type="dxa"/>
              <w:bottom w:w="72" w:type="dxa"/>
              <w:right w:w="115" w:type="dxa"/>
            </w:tcMar>
          </w:tcPr>
          <w:p w14:paraId="1C501C1D" w14:textId="3C40AC6D" w:rsidR="000A53BF" w:rsidRPr="00DC3AB6" w:rsidRDefault="00853FB6" w:rsidP="00DF2E76">
            <w:pPr>
              <w:spacing w:after="0"/>
              <w:jc w:val="right"/>
              <w:rPr>
                <w:sz w:val="24"/>
              </w:rPr>
            </w:pPr>
            <w:r w:rsidRPr="00DC3AB6">
              <w:rPr>
                <w:sz w:val="24"/>
              </w:rPr>
              <w:t>5</w:t>
            </w:r>
          </w:p>
        </w:tc>
        <w:tc>
          <w:tcPr>
            <w:tcW w:w="1620" w:type="dxa"/>
            <w:tcMar>
              <w:top w:w="72" w:type="dxa"/>
              <w:left w:w="115" w:type="dxa"/>
              <w:bottom w:w="72" w:type="dxa"/>
              <w:right w:w="115" w:type="dxa"/>
            </w:tcMar>
          </w:tcPr>
          <w:p w14:paraId="48534DF7" w14:textId="77777777" w:rsidR="000A53BF" w:rsidRPr="00DC3AB6" w:rsidRDefault="000A53BF" w:rsidP="00DF2E76">
            <w:pPr>
              <w:spacing w:after="0"/>
              <w:rPr>
                <w:sz w:val="24"/>
              </w:rPr>
            </w:pPr>
          </w:p>
        </w:tc>
      </w:tr>
      <w:tr w:rsidR="00860A8D" w14:paraId="61F567D9" w14:textId="77777777" w:rsidTr="00D73C3D">
        <w:trPr>
          <w:jc w:val="center"/>
        </w:trPr>
        <w:tc>
          <w:tcPr>
            <w:tcW w:w="1253" w:type="dxa"/>
            <w:tcMar>
              <w:top w:w="72" w:type="dxa"/>
              <w:left w:w="115" w:type="dxa"/>
              <w:bottom w:w="72" w:type="dxa"/>
              <w:right w:w="115" w:type="dxa"/>
            </w:tcMar>
          </w:tcPr>
          <w:p w14:paraId="5CE2ACFA" w14:textId="78C55C44" w:rsidR="00860A8D" w:rsidRPr="00DC3AB6" w:rsidRDefault="00853FB6" w:rsidP="00DF2E76">
            <w:pPr>
              <w:spacing w:after="0"/>
              <w:rPr>
                <w:sz w:val="24"/>
              </w:rPr>
            </w:pPr>
            <w:r w:rsidRPr="00DC3AB6">
              <w:rPr>
                <w:sz w:val="24"/>
              </w:rPr>
              <w:t>1(b)</w:t>
            </w:r>
          </w:p>
        </w:tc>
        <w:tc>
          <w:tcPr>
            <w:tcW w:w="1080" w:type="dxa"/>
            <w:tcMar>
              <w:top w:w="72" w:type="dxa"/>
              <w:left w:w="115" w:type="dxa"/>
              <w:bottom w:w="72" w:type="dxa"/>
              <w:right w:w="115" w:type="dxa"/>
            </w:tcMar>
          </w:tcPr>
          <w:p w14:paraId="7F12D56C" w14:textId="799317BE" w:rsidR="00860A8D" w:rsidRPr="00DC3AB6" w:rsidRDefault="00853FB6" w:rsidP="00DF2E76">
            <w:pPr>
              <w:spacing w:after="0"/>
              <w:jc w:val="right"/>
              <w:rPr>
                <w:sz w:val="24"/>
              </w:rPr>
            </w:pPr>
            <w:r w:rsidRPr="00DC3AB6">
              <w:rPr>
                <w:sz w:val="24"/>
              </w:rPr>
              <w:t>10</w:t>
            </w:r>
          </w:p>
        </w:tc>
        <w:tc>
          <w:tcPr>
            <w:tcW w:w="1620" w:type="dxa"/>
            <w:tcMar>
              <w:top w:w="72" w:type="dxa"/>
              <w:left w:w="115" w:type="dxa"/>
              <w:bottom w:w="72" w:type="dxa"/>
              <w:right w:w="115" w:type="dxa"/>
            </w:tcMar>
          </w:tcPr>
          <w:p w14:paraId="109291F0" w14:textId="77777777" w:rsidR="00860A8D" w:rsidRPr="00DC3AB6" w:rsidRDefault="00860A8D" w:rsidP="00DF2E76">
            <w:pPr>
              <w:spacing w:after="0"/>
              <w:rPr>
                <w:sz w:val="24"/>
              </w:rPr>
            </w:pPr>
          </w:p>
        </w:tc>
      </w:tr>
      <w:tr w:rsidR="00860A8D" w14:paraId="6B9E25A1" w14:textId="77777777" w:rsidTr="00D73C3D">
        <w:trPr>
          <w:jc w:val="center"/>
        </w:trPr>
        <w:tc>
          <w:tcPr>
            <w:tcW w:w="1253" w:type="dxa"/>
            <w:tcMar>
              <w:top w:w="72" w:type="dxa"/>
              <w:left w:w="115" w:type="dxa"/>
              <w:bottom w:w="72" w:type="dxa"/>
              <w:right w:w="115" w:type="dxa"/>
            </w:tcMar>
          </w:tcPr>
          <w:p w14:paraId="21DBFE31" w14:textId="0E44518D" w:rsidR="00860A8D" w:rsidRPr="00DC3AB6" w:rsidRDefault="00853FB6" w:rsidP="00DF2E76">
            <w:pPr>
              <w:spacing w:after="0"/>
              <w:rPr>
                <w:sz w:val="24"/>
              </w:rPr>
            </w:pPr>
            <w:r w:rsidRPr="00DC3AB6">
              <w:rPr>
                <w:sz w:val="24"/>
              </w:rPr>
              <w:t>1(c)</w:t>
            </w:r>
          </w:p>
        </w:tc>
        <w:tc>
          <w:tcPr>
            <w:tcW w:w="1080" w:type="dxa"/>
            <w:tcMar>
              <w:top w:w="72" w:type="dxa"/>
              <w:left w:w="115" w:type="dxa"/>
              <w:bottom w:w="72" w:type="dxa"/>
              <w:right w:w="115" w:type="dxa"/>
            </w:tcMar>
          </w:tcPr>
          <w:p w14:paraId="0FB36942" w14:textId="1B02DC3F" w:rsidR="00860A8D" w:rsidRPr="00DC3AB6" w:rsidRDefault="00853FB6" w:rsidP="00DF2E76">
            <w:pPr>
              <w:spacing w:after="0"/>
              <w:jc w:val="right"/>
              <w:rPr>
                <w:sz w:val="24"/>
              </w:rPr>
            </w:pPr>
            <w:r w:rsidRPr="00DC3AB6">
              <w:rPr>
                <w:sz w:val="24"/>
              </w:rPr>
              <w:t>10</w:t>
            </w:r>
          </w:p>
        </w:tc>
        <w:tc>
          <w:tcPr>
            <w:tcW w:w="1620" w:type="dxa"/>
            <w:tcMar>
              <w:top w:w="72" w:type="dxa"/>
              <w:left w:w="115" w:type="dxa"/>
              <w:bottom w:w="72" w:type="dxa"/>
              <w:right w:w="115" w:type="dxa"/>
            </w:tcMar>
          </w:tcPr>
          <w:p w14:paraId="70D9B914" w14:textId="77777777" w:rsidR="00860A8D" w:rsidRPr="00DC3AB6" w:rsidRDefault="00860A8D" w:rsidP="00DF2E76">
            <w:pPr>
              <w:spacing w:after="0"/>
              <w:rPr>
                <w:sz w:val="24"/>
              </w:rPr>
            </w:pPr>
          </w:p>
        </w:tc>
      </w:tr>
      <w:tr w:rsidR="00853FB6" w14:paraId="06CA06CF" w14:textId="77777777" w:rsidTr="00D73C3D">
        <w:trPr>
          <w:jc w:val="center"/>
        </w:trPr>
        <w:tc>
          <w:tcPr>
            <w:tcW w:w="1253" w:type="dxa"/>
            <w:tcMar>
              <w:top w:w="72" w:type="dxa"/>
              <w:left w:w="115" w:type="dxa"/>
              <w:bottom w:w="72" w:type="dxa"/>
              <w:right w:w="115" w:type="dxa"/>
            </w:tcMar>
          </w:tcPr>
          <w:p w14:paraId="0C9BA33F" w14:textId="6DF94405" w:rsidR="00853FB6" w:rsidRPr="00DC3AB6" w:rsidRDefault="00853FB6" w:rsidP="00DF2E76">
            <w:pPr>
              <w:spacing w:after="0"/>
              <w:rPr>
                <w:sz w:val="24"/>
              </w:rPr>
            </w:pPr>
            <w:r w:rsidRPr="00DC3AB6">
              <w:rPr>
                <w:sz w:val="24"/>
              </w:rPr>
              <w:t>1(d)</w:t>
            </w:r>
          </w:p>
        </w:tc>
        <w:tc>
          <w:tcPr>
            <w:tcW w:w="1080" w:type="dxa"/>
            <w:tcMar>
              <w:top w:w="72" w:type="dxa"/>
              <w:left w:w="115" w:type="dxa"/>
              <w:bottom w:w="72" w:type="dxa"/>
              <w:right w:w="115" w:type="dxa"/>
            </w:tcMar>
          </w:tcPr>
          <w:p w14:paraId="49D265B4" w14:textId="57C8190E" w:rsidR="00853FB6" w:rsidRPr="00DC3AB6" w:rsidRDefault="00853FB6" w:rsidP="00DF2E76">
            <w:pPr>
              <w:spacing w:after="0"/>
              <w:jc w:val="right"/>
              <w:rPr>
                <w:sz w:val="24"/>
              </w:rPr>
            </w:pPr>
            <w:r w:rsidRPr="00DC3AB6">
              <w:rPr>
                <w:sz w:val="24"/>
              </w:rPr>
              <w:t>10</w:t>
            </w:r>
          </w:p>
        </w:tc>
        <w:tc>
          <w:tcPr>
            <w:tcW w:w="1620" w:type="dxa"/>
            <w:tcMar>
              <w:top w:w="72" w:type="dxa"/>
              <w:left w:w="115" w:type="dxa"/>
              <w:bottom w:w="72" w:type="dxa"/>
              <w:right w:w="115" w:type="dxa"/>
            </w:tcMar>
          </w:tcPr>
          <w:p w14:paraId="27947E9D" w14:textId="77777777" w:rsidR="00853FB6" w:rsidRPr="00DC3AB6" w:rsidRDefault="00853FB6" w:rsidP="00DF2E76">
            <w:pPr>
              <w:spacing w:after="0"/>
              <w:rPr>
                <w:sz w:val="24"/>
              </w:rPr>
            </w:pPr>
          </w:p>
        </w:tc>
      </w:tr>
      <w:tr w:rsidR="00853FB6" w14:paraId="381A19A5" w14:textId="77777777" w:rsidTr="00D73C3D">
        <w:trPr>
          <w:jc w:val="center"/>
        </w:trPr>
        <w:tc>
          <w:tcPr>
            <w:tcW w:w="1253" w:type="dxa"/>
            <w:tcMar>
              <w:top w:w="72" w:type="dxa"/>
              <w:left w:w="115" w:type="dxa"/>
              <w:bottom w:w="72" w:type="dxa"/>
              <w:right w:w="115" w:type="dxa"/>
            </w:tcMar>
          </w:tcPr>
          <w:p w14:paraId="0F73E867" w14:textId="0EB35DB2" w:rsidR="00853FB6" w:rsidRPr="00DC3AB6" w:rsidRDefault="00853FB6" w:rsidP="00DF2E76">
            <w:pPr>
              <w:spacing w:after="0"/>
              <w:rPr>
                <w:sz w:val="24"/>
              </w:rPr>
            </w:pPr>
            <w:r w:rsidRPr="00DC3AB6">
              <w:rPr>
                <w:sz w:val="24"/>
              </w:rPr>
              <w:t>1(e)</w:t>
            </w:r>
          </w:p>
        </w:tc>
        <w:tc>
          <w:tcPr>
            <w:tcW w:w="1080" w:type="dxa"/>
            <w:tcMar>
              <w:top w:w="72" w:type="dxa"/>
              <w:left w:w="115" w:type="dxa"/>
              <w:bottom w:w="72" w:type="dxa"/>
              <w:right w:w="115" w:type="dxa"/>
            </w:tcMar>
          </w:tcPr>
          <w:p w14:paraId="6CA7698B" w14:textId="32760275" w:rsidR="00853FB6" w:rsidRPr="00DC3AB6" w:rsidRDefault="00853FB6" w:rsidP="00DF2E76">
            <w:pPr>
              <w:spacing w:after="0"/>
              <w:jc w:val="right"/>
              <w:rPr>
                <w:sz w:val="24"/>
              </w:rPr>
            </w:pPr>
            <w:r w:rsidRPr="00DC3AB6">
              <w:rPr>
                <w:sz w:val="24"/>
              </w:rPr>
              <w:t>10</w:t>
            </w:r>
          </w:p>
        </w:tc>
        <w:tc>
          <w:tcPr>
            <w:tcW w:w="1620" w:type="dxa"/>
            <w:tcMar>
              <w:top w:w="72" w:type="dxa"/>
              <w:left w:w="115" w:type="dxa"/>
              <w:bottom w:w="72" w:type="dxa"/>
              <w:right w:w="115" w:type="dxa"/>
            </w:tcMar>
          </w:tcPr>
          <w:p w14:paraId="6D88E730" w14:textId="77777777" w:rsidR="00853FB6" w:rsidRPr="00DC3AB6" w:rsidRDefault="00853FB6" w:rsidP="00DF2E76">
            <w:pPr>
              <w:spacing w:after="0"/>
              <w:rPr>
                <w:sz w:val="24"/>
              </w:rPr>
            </w:pPr>
          </w:p>
        </w:tc>
      </w:tr>
      <w:tr w:rsidR="00853FB6" w14:paraId="2FD65609" w14:textId="77777777" w:rsidTr="00D73C3D">
        <w:trPr>
          <w:jc w:val="center"/>
        </w:trPr>
        <w:tc>
          <w:tcPr>
            <w:tcW w:w="1253" w:type="dxa"/>
            <w:tcMar>
              <w:top w:w="72" w:type="dxa"/>
              <w:left w:w="115" w:type="dxa"/>
              <w:bottom w:w="72" w:type="dxa"/>
              <w:right w:w="115" w:type="dxa"/>
            </w:tcMar>
          </w:tcPr>
          <w:p w14:paraId="5C56967F" w14:textId="121E1C1B" w:rsidR="00853FB6" w:rsidRPr="00DC3AB6" w:rsidRDefault="00853FB6" w:rsidP="00DF2E76">
            <w:pPr>
              <w:spacing w:after="0"/>
              <w:rPr>
                <w:sz w:val="24"/>
              </w:rPr>
            </w:pPr>
            <w:r w:rsidRPr="00DC3AB6">
              <w:rPr>
                <w:sz w:val="24"/>
              </w:rPr>
              <w:t>1(f)</w:t>
            </w:r>
          </w:p>
        </w:tc>
        <w:tc>
          <w:tcPr>
            <w:tcW w:w="1080" w:type="dxa"/>
            <w:tcMar>
              <w:top w:w="72" w:type="dxa"/>
              <w:left w:w="115" w:type="dxa"/>
              <w:bottom w:w="72" w:type="dxa"/>
              <w:right w:w="115" w:type="dxa"/>
            </w:tcMar>
          </w:tcPr>
          <w:p w14:paraId="00D871E3" w14:textId="74490A35" w:rsidR="00853FB6" w:rsidRPr="00DC3AB6" w:rsidRDefault="00853FB6" w:rsidP="00DF2E76">
            <w:pPr>
              <w:spacing w:after="0"/>
              <w:jc w:val="right"/>
              <w:rPr>
                <w:sz w:val="24"/>
              </w:rPr>
            </w:pPr>
            <w:r w:rsidRPr="00DC3AB6">
              <w:rPr>
                <w:sz w:val="24"/>
              </w:rPr>
              <w:t>5</w:t>
            </w:r>
          </w:p>
        </w:tc>
        <w:tc>
          <w:tcPr>
            <w:tcW w:w="1620" w:type="dxa"/>
            <w:tcMar>
              <w:top w:w="72" w:type="dxa"/>
              <w:left w:w="115" w:type="dxa"/>
              <w:bottom w:w="72" w:type="dxa"/>
              <w:right w:w="115" w:type="dxa"/>
            </w:tcMar>
          </w:tcPr>
          <w:p w14:paraId="0A95CC96" w14:textId="77777777" w:rsidR="00853FB6" w:rsidRPr="00DC3AB6" w:rsidRDefault="00853FB6" w:rsidP="00DF2E76">
            <w:pPr>
              <w:spacing w:after="0"/>
              <w:rPr>
                <w:sz w:val="24"/>
              </w:rPr>
            </w:pPr>
          </w:p>
        </w:tc>
      </w:tr>
      <w:tr w:rsidR="000A53BF" w14:paraId="219D975F" w14:textId="77777777" w:rsidTr="00D73C3D">
        <w:trPr>
          <w:jc w:val="center"/>
        </w:trPr>
        <w:tc>
          <w:tcPr>
            <w:tcW w:w="1253" w:type="dxa"/>
            <w:tcMar>
              <w:top w:w="72" w:type="dxa"/>
              <w:left w:w="115" w:type="dxa"/>
              <w:bottom w:w="72" w:type="dxa"/>
              <w:right w:w="115" w:type="dxa"/>
            </w:tcMar>
          </w:tcPr>
          <w:p w14:paraId="1F59F032" w14:textId="2D60433F" w:rsidR="000A53BF" w:rsidRPr="00DC3AB6" w:rsidRDefault="00853FB6" w:rsidP="00561C2C">
            <w:pPr>
              <w:spacing w:after="0"/>
              <w:rPr>
                <w:sz w:val="24"/>
              </w:rPr>
            </w:pPr>
            <w:r w:rsidRPr="00DC3AB6">
              <w:rPr>
                <w:sz w:val="24"/>
              </w:rPr>
              <w:t>2</w:t>
            </w:r>
          </w:p>
        </w:tc>
        <w:tc>
          <w:tcPr>
            <w:tcW w:w="1080" w:type="dxa"/>
            <w:tcMar>
              <w:top w:w="72" w:type="dxa"/>
              <w:left w:w="115" w:type="dxa"/>
              <w:bottom w:w="72" w:type="dxa"/>
              <w:right w:w="115" w:type="dxa"/>
            </w:tcMar>
          </w:tcPr>
          <w:p w14:paraId="58607711" w14:textId="6A7E7DD6" w:rsidR="000A53BF" w:rsidRPr="00DC3AB6" w:rsidRDefault="00EE1650" w:rsidP="00EE7A96">
            <w:pPr>
              <w:spacing w:after="0"/>
              <w:jc w:val="right"/>
              <w:rPr>
                <w:sz w:val="24"/>
              </w:rPr>
            </w:pPr>
            <w:r w:rsidRPr="00DC3AB6">
              <w:rPr>
                <w:sz w:val="24"/>
              </w:rPr>
              <w:t>25</w:t>
            </w:r>
          </w:p>
        </w:tc>
        <w:tc>
          <w:tcPr>
            <w:tcW w:w="1620" w:type="dxa"/>
            <w:tcMar>
              <w:top w:w="72" w:type="dxa"/>
              <w:left w:w="115" w:type="dxa"/>
              <w:bottom w:w="72" w:type="dxa"/>
              <w:right w:w="115" w:type="dxa"/>
            </w:tcMar>
          </w:tcPr>
          <w:p w14:paraId="07C4BD44" w14:textId="77777777" w:rsidR="000A53BF" w:rsidRPr="00DC3AB6" w:rsidRDefault="000A53BF" w:rsidP="00EE7A96">
            <w:pPr>
              <w:spacing w:after="0"/>
              <w:rPr>
                <w:sz w:val="24"/>
              </w:rPr>
            </w:pPr>
          </w:p>
        </w:tc>
      </w:tr>
      <w:tr w:rsidR="00DC3AB6" w14:paraId="57FB73D8" w14:textId="77777777" w:rsidTr="00D73C3D">
        <w:trPr>
          <w:jc w:val="center"/>
        </w:trPr>
        <w:tc>
          <w:tcPr>
            <w:tcW w:w="1253" w:type="dxa"/>
            <w:tcMar>
              <w:top w:w="72" w:type="dxa"/>
              <w:left w:w="115" w:type="dxa"/>
              <w:bottom w:w="72" w:type="dxa"/>
              <w:right w:w="115" w:type="dxa"/>
            </w:tcMar>
          </w:tcPr>
          <w:p w14:paraId="7FAA3525" w14:textId="64980E24" w:rsidR="00DC3AB6" w:rsidRPr="00DC3AB6" w:rsidRDefault="00DC3AB6" w:rsidP="00561C2C">
            <w:pPr>
              <w:spacing w:after="0"/>
              <w:rPr>
                <w:sz w:val="24"/>
              </w:rPr>
            </w:pPr>
            <w:r w:rsidRPr="00DC3AB6">
              <w:rPr>
                <w:sz w:val="24"/>
              </w:rPr>
              <w:t>3</w:t>
            </w:r>
          </w:p>
        </w:tc>
        <w:tc>
          <w:tcPr>
            <w:tcW w:w="1080" w:type="dxa"/>
            <w:tcMar>
              <w:top w:w="72" w:type="dxa"/>
              <w:left w:w="115" w:type="dxa"/>
              <w:bottom w:w="72" w:type="dxa"/>
              <w:right w:w="115" w:type="dxa"/>
            </w:tcMar>
          </w:tcPr>
          <w:p w14:paraId="3FC5DB41" w14:textId="386371C4" w:rsidR="00DC3AB6" w:rsidRPr="00DC3AB6" w:rsidRDefault="00DC3AB6" w:rsidP="00EE7A96">
            <w:pPr>
              <w:spacing w:after="0"/>
              <w:jc w:val="right"/>
              <w:rPr>
                <w:sz w:val="24"/>
              </w:rPr>
            </w:pPr>
            <w:r w:rsidRPr="00DC3AB6">
              <w:rPr>
                <w:sz w:val="24"/>
              </w:rPr>
              <w:t>25</w:t>
            </w:r>
          </w:p>
        </w:tc>
        <w:tc>
          <w:tcPr>
            <w:tcW w:w="1620" w:type="dxa"/>
            <w:tcMar>
              <w:top w:w="72" w:type="dxa"/>
              <w:left w:w="115" w:type="dxa"/>
              <w:bottom w:w="72" w:type="dxa"/>
              <w:right w:w="115" w:type="dxa"/>
            </w:tcMar>
          </w:tcPr>
          <w:p w14:paraId="24792E8C" w14:textId="77777777" w:rsidR="00DC3AB6" w:rsidRPr="00DC3AB6" w:rsidRDefault="00DC3AB6" w:rsidP="00EE7A96">
            <w:pPr>
              <w:spacing w:after="0"/>
              <w:rPr>
                <w:sz w:val="24"/>
              </w:rPr>
            </w:pPr>
          </w:p>
        </w:tc>
      </w:tr>
      <w:tr w:rsidR="001D4542" w14:paraId="12749B8E" w14:textId="77777777" w:rsidTr="007F7EFE">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14:paraId="621E34CA" w14:textId="38A28A4E" w:rsidR="001D4542" w:rsidRPr="00DC3AB6" w:rsidRDefault="001D4542" w:rsidP="00EE7A96">
            <w:pPr>
              <w:spacing w:after="0"/>
              <w:rPr>
                <w:sz w:val="24"/>
              </w:rPr>
            </w:pPr>
            <w:r w:rsidRPr="00DC3AB6">
              <w:rPr>
                <w:sz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14:paraId="3BDC258A" w14:textId="0472F21A" w:rsidR="001D4542" w:rsidRPr="00DC3AB6" w:rsidRDefault="001D4542" w:rsidP="00EE7A96">
            <w:pPr>
              <w:spacing w:after="0"/>
              <w:jc w:val="right"/>
              <w:rPr>
                <w:sz w:val="24"/>
              </w:rPr>
            </w:pPr>
            <w:r w:rsidRPr="00DC3AB6">
              <w:rPr>
                <w:sz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14:paraId="0798F827" w14:textId="77777777" w:rsidR="001D4542" w:rsidRPr="00DC3AB6" w:rsidRDefault="001D4542" w:rsidP="00EE7A96">
            <w:pPr>
              <w:spacing w:after="0"/>
              <w:rPr>
                <w:sz w:val="24"/>
              </w:rPr>
            </w:pPr>
          </w:p>
        </w:tc>
      </w:tr>
    </w:tbl>
    <w:p w14:paraId="3DAD52F0" w14:textId="77777777" w:rsidR="005C6BB0" w:rsidRDefault="005C6BB0" w:rsidP="005C6BB0"/>
    <w:p w14:paraId="3D5396C2" w14:textId="77777777" w:rsidR="005C6BB0" w:rsidRDefault="005C6BB0" w:rsidP="005C6BB0">
      <w:r>
        <w:t>Notes:</w:t>
      </w:r>
    </w:p>
    <w:p w14:paraId="4ACB5496" w14:textId="4DC6FD84" w:rsidR="005C6BB0" w:rsidRDefault="005C6BB0" w:rsidP="005C6BB0">
      <w:pPr>
        <w:numPr>
          <w:ilvl w:val="0"/>
          <w:numId w:val="22"/>
        </w:numPr>
      </w:pPr>
      <w:r>
        <w:t>The exam is closed book</w:t>
      </w:r>
      <w:r w:rsidR="00746974">
        <w:t>s</w:t>
      </w:r>
      <w:r>
        <w:t xml:space="preserve"> and notes except for one double-sided sheet of notes.</w:t>
      </w:r>
      <w:r w:rsidR="002F78C0">
        <w:t xml:space="preserve"> You are allowed the use of a calculator</w:t>
      </w:r>
      <w:r w:rsidR="00860A8D">
        <w:t>, interest tables</w:t>
      </w:r>
      <w:r w:rsidR="002F78C0">
        <w:t xml:space="preserve"> or </w:t>
      </w:r>
      <w:r w:rsidR="00860A8D">
        <w:t xml:space="preserve">MS Excel </w:t>
      </w:r>
      <w:r w:rsidR="002F78C0">
        <w:t>on this exam</w:t>
      </w:r>
      <w:r w:rsidR="00860A8D">
        <w:t>.</w:t>
      </w:r>
    </w:p>
    <w:p w14:paraId="7578DC99" w14:textId="4CEE802F" w:rsidR="005C6BB0" w:rsidRDefault="005C6BB0" w:rsidP="005C6BB0">
      <w:pPr>
        <w:numPr>
          <w:ilvl w:val="0"/>
          <w:numId w:val="22"/>
        </w:numPr>
      </w:pPr>
      <w:r>
        <w:t>Please indicate clearly your answer to the problem.</w:t>
      </w:r>
      <w:r w:rsidR="007B7A41">
        <w:t xml:space="preserve"> Circle your answers.</w:t>
      </w:r>
    </w:p>
    <w:p w14:paraId="38B3DF2E" w14:textId="77777777" w:rsidR="005C6BB0" w:rsidRDefault="00D15A2B" w:rsidP="005C6BB0">
      <w:pPr>
        <w:numPr>
          <w:ilvl w:val="0"/>
          <w:numId w:val="22"/>
        </w:numPr>
      </w:pPr>
      <w:r>
        <w:t>The details of your solutions are more important than the answers. Please explain your solutions clearly and include as many details as possible.</w:t>
      </w:r>
    </w:p>
    <w:p w14:paraId="1BF883D1" w14:textId="78CF09EA" w:rsidR="00CA09D8" w:rsidRDefault="005224E5" w:rsidP="005224E5">
      <w:pPr>
        <w:pStyle w:val="ListParagraph"/>
        <w:pageBreakBefore/>
        <w:widowControl w:val="0"/>
        <w:numPr>
          <w:ilvl w:val="0"/>
          <w:numId w:val="36"/>
        </w:numPr>
        <w:tabs>
          <w:tab w:val="left" w:pos="540"/>
        </w:tabs>
        <w:overflowPunct/>
        <w:spacing w:after="120"/>
        <w:ind w:left="0" w:firstLine="0"/>
        <w:jc w:val="left"/>
        <w:textAlignment w:val="auto"/>
      </w:pPr>
      <w:r>
        <w:rPr>
          <w:szCs w:val="22"/>
        </w:rPr>
        <w:lastRenderedPageBreak/>
        <w:t>You are considering investing in three machines with parameters shown below:</w:t>
      </w:r>
      <w:r w:rsidR="00CA09D8" w:rsidRPr="005224E5">
        <w:rPr>
          <w:rFonts w:ascii="Thorndale for VST" w:hAnsi="Thorndale for VST" w:cs="Thorndale for VST"/>
          <w:sz w:val="24"/>
        </w:rPr>
        <w:t xml:space="preserve"> </w:t>
      </w:r>
    </w:p>
    <w:tbl>
      <w:tblPr>
        <w:tblStyle w:val="TableGrid"/>
        <w:tblW w:w="0" w:type="auto"/>
        <w:jc w:val="center"/>
        <w:tblInd w:w="133" w:type="dxa"/>
        <w:tblLook w:val="04A0" w:firstRow="1" w:lastRow="0" w:firstColumn="1" w:lastColumn="0" w:noHBand="0" w:noVBand="1"/>
      </w:tblPr>
      <w:tblGrid>
        <w:gridCol w:w="1135"/>
        <w:gridCol w:w="1235"/>
        <w:gridCol w:w="1306"/>
        <w:gridCol w:w="1442"/>
        <w:gridCol w:w="2070"/>
        <w:gridCol w:w="1196"/>
      </w:tblGrid>
      <w:tr w:rsidR="005224E5" w14:paraId="144AA6B8" w14:textId="4B225541" w:rsidTr="00853FB6">
        <w:trPr>
          <w:jc w:val="center"/>
        </w:trPr>
        <w:tc>
          <w:tcPr>
            <w:tcW w:w="1135" w:type="dxa"/>
            <w:vAlign w:val="center"/>
          </w:tcPr>
          <w:p w14:paraId="7D06C643" w14:textId="37F50916" w:rsidR="005224E5" w:rsidRPr="00CA09D8" w:rsidRDefault="005224E5" w:rsidP="005224E5">
            <w:pPr>
              <w:widowControl w:val="0"/>
              <w:overflowPunct/>
              <w:spacing w:after="0"/>
              <w:jc w:val="center"/>
              <w:textAlignment w:val="auto"/>
              <w:rPr>
                <w:b/>
              </w:rPr>
            </w:pPr>
            <w:r>
              <w:rPr>
                <w:b/>
              </w:rPr>
              <w:t>Machine</w:t>
            </w:r>
          </w:p>
        </w:tc>
        <w:tc>
          <w:tcPr>
            <w:tcW w:w="1235" w:type="dxa"/>
            <w:vAlign w:val="center"/>
          </w:tcPr>
          <w:p w14:paraId="07F0E6D3" w14:textId="16572C17" w:rsidR="005224E5" w:rsidRPr="00CA09D8" w:rsidRDefault="005224E5" w:rsidP="005224E5">
            <w:pPr>
              <w:widowControl w:val="0"/>
              <w:overflowPunct/>
              <w:spacing w:after="0"/>
              <w:jc w:val="center"/>
              <w:textAlignment w:val="auto"/>
              <w:rPr>
                <w:b/>
              </w:rPr>
            </w:pPr>
            <w:r>
              <w:rPr>
                <w:b/>
              </w:rPr>
              <w:t>Purchase Price</w:t>
            </w:r>
          </w:p>
        </w:tc>
        <w:tc>
          <w:tcPr>
            <w:tcW w:w="1306" w:type="dxa"/>
            <w:vAlign w:val="center"/>
          </w:tcPr>
          <w:p w14:paraId="3FD3ECDE" w14:textId="06D7A5BF" w:rsidR="005224E5" w:rsidRPr="00CA09D8" w:rsidRDefault="005224E5" w:rsidP="005224E5">
            <w:pPr>
              <w:widowControl w:val="0"/>
              <w:overflowPunct/>
              <w:spacing w:after="0"/>
              <w:jc w:val="center"/>
              <w:textAlignment w:val="auto"/>
              <w:rPr>
                <w:b/>
              </w:rPr>
            </w:pPr>
            <w:r>
              <w:rPr>
                <w:b/>
              </w:rPr>
              <w:t>Useful Life</w:t>
            </w:r>
            <w:r>
              <w:rPr>
                <w:b/>
              </w:rPr>
              <w:br/>
              <w:t>(Years)</w:t>
            </w:r>
          </w:p>
        </w:tc>
        <w:tc>
          <w:tcPr>
            <w:tcW w:w="1442" w:type="dxa"/>
            <w:vAlign w:val="center"/>
          </w:tcPr>
          <w:p w14:paraId="4032CDAD" w14:textId="4CFD76FF" w:rsidR="005224E5" w:rsidRPr="00CA09D8" w:rsidRDefault="005224E5" w:rsidP="005224E5">
            <w:pPr>
              <w:widowControl w:val="0"/>
              <w:overflowPunct/>
              <w:spacing w:after="0"/>
              <w:jc w:val="center"/>
              <w:textAlignment w:val="auto"/>
              <w:rPr>
                <w:b/>
              </w:rPr>
            </w:pPr>
            <w:r>
              <w:rPr>
                <w:b/>
              </w:rPr>
              <w:t>Revenue Per Year</w:t>
            </w:r>
          </w:p>
        </w:tc>
        <w:tc>
          <w:tcPr>
            <w:tcW w:w="2070" w:type="dxa"/>
            <w:vAlign w:val="center"/>
          </w:tcPr>
          <w:p w14:paraId="78093532" w14:textId="3613A4B4" w:rsidR="005224E5" w:rsidRPr="00CA09D8" w:rsidRDefault="005224E5" w:rsidP="005224E5">
            <w:pPr>
              <w:widowControl w:val="0"/>
              <w:overflowPunct/>
              <w:spacing w:after="0"/>
              <w:jc w:val="center"/>
              <w:textAlignment w:val="auto"/>
              <w:rPr>
                <w:b/>
              </w:rPr>
            </w:pPr>
            <w:r>
              <w:rPr>
                <w:b/>
              </w:rPr>
              <w:t>Maintenance Costs Per Year</w:t>
            </w:r>
          </w:p>
        </w:tc>
        <w:tc>
          <w:tcPr>
            <w:tcW w:w="1196" w:type="dxa"/>
            <w:vAlign w:val="center"/>
          </w:tcPr>
          <w:p w14:paraId="7F2D79A6" w14:textId="609E2F81" w:rsidR="005224E5" w:rsidRDefault="005224E5" w:rsidP="005224E5">
            <w:pPr>
              <w:widowControl w:val="0"/>
              <w:overflowPunct/>
              <w:spacing w:after="0"/>
              <w:jc w:val="center"/>
              <w:textAlignment w:val="auto"/>
              <w:rPr>
                <w:b/>
              </w:rPr>
            </w:pPr>
            <w:r>
              <w:rPr>
                <w:b/>
              </w:rPr>
              <w:t>Salvage Value</w:t>
            </w:r>
          </w:p>
        </w:tc>
      </w:tr>
      <w:tr w:rsidR="005224E5" w14:paraId="1993AB6D" w14:textId="0EA0C9BF" w:rsidTr="00853FB6">
        <w:trPr>
          <w:jc w:val="center"/>
        </w:trPr>
        <w:tc>
          <w:tcPr>
            <w:tcW w:w="1135" w:type="dxa"/>
          </w:tcPr>
          <w:p w14:paraId="0EEA9586" w14:textId="010F3DFC" w:rsidR="005224E5" w:rsidRPr="00CA09D8" w:rsidRDefault="005224E5" w:rsidP="00CA09D8">
            <w:pPr>
              <w:widowControl w:val="0"/>
              <w:overflowPunct/>
              <w:spacing w:after="0"/>
              <w:jc w:val="center"/>
              <w:textAlignment w:val="auto"/>
              <w:rPr>
                <w:b/>
              </w:rPr>
            </w:pPr>
            <w:r w:rsidRPr="00CA09D8">
              <w:rPr>
                <w:b/>
              </w:rPr>
              <w:t>A</w:t>
            </w:r>
          </w:p>
        </w:tc>
        <w:tc>
          <w:tcPr>
            <w:tcW w:w="1235" w:type="dxa"/>
          </w:tcPr>
          <w:p w14:paraId="5876DD64" w14:textId="5D205911" w:rsidR="005224E5" w:rsidRDefault="005224E5" w:rsidP="00CA09D8">
            <w:pPr>
              <w:widowControl w:val="0"/>
              <w:overflowPunct/>
              <w:spacing w:after="0"/>
              <w:jc w:val="right"/>
              <w:textAlignment w:val="auto"/>
            </w:pPr>
            <w:r>
              <w:t>$10,000</w:t>
            </w:r>
          </w:p>
        </w:tc>
        <w:tc>
          <w:tcPr>
            <w:tcW w:w="1306" w:type="dxa"/>
          </w:tcPr>
          <w:p w14:paraId="63182981" w14:textId="7CB8213E" w:rsidR="005224E5" w:rsidRDefault="005224E5" w:rsidP="005224E5">
            <w:pPr>
              <w:widowControl w:val="0"/>
              <w:overflowPunct/>
              <w:spacing w:after="0"/>
              <w:jc w:val="right"/>
              <w:textAlignment w:val="auto"/>
            </w:pPr>
            <w:r>
              <w:t>2</w:t>
            </w:r>
          </w:p>
        </w:tc>
        <w:tc>
          <w:tcPr>
            <w:tcW w:w="1442" w:type="dxa"/>
          </w:tcPr>
          <w:p w14:paraId="30FD3472" w14:textId="2E792C80" w:rsidR="005224E5" w:rsidRDefault="005224E5" w:rsidP="00CA09D8">
            <w:pPr>
              <w:widowControl w:val="0"/>
              <w:overflowPunct/>
              <w:spacing w:after="0"/>
              <w:jc w:val="right"/>
              <w:textAlignment w:val="auto"/>
            </w:pPr>
            <w:r>
              <w:t>$5,000</w:t>
            </w:r>
          </w:p>
        </w:tc>
        <w:tc>
          <w:tcPr>
            <w:tcW w:w="2070" w:type="dxa"/>
          </w:tcPr>
          <w:p w14:paraId="7CD1D98B" w14:textId="514B7D27" w:rsidR="005224E5" w:rsidRDefault="005224E5" w:rsidP="005224E5">
            <w:pPr>
              <w:widowControl w:val="0"/>
              <w:overflowPunct/>
              <w:spacing w:after="0"/>
              <w:jc w:val="right"/>
              <w:textAlignment w:val="auto"/>
            </w:pPr>
            <w:r>
              <w:t>$1,000</w:t>
            </w:r>
          </w:p>
        </w:tc>
        <w:tc>
          <w:tcPr>
            <w:tcW w:w="1196" w:type="dxa"/>
          </w:tcPr>
          <w:p w14:paraId="4968625A" w14:textId="13EB898E" w:rsidR="005224E5" w:rsidRDefault="005224E5" w:rsidP="005224E5">
            <w:pPr>
              <w:widowControl w:val="0"/>
              <w:overflowPunct/>
              <w:spacing w:after="0"/>
              <w:jc w:val="right"/>
              <w:textAlignment w:val="auto"/>
            </w:pPr>
            <w:r>
              <w:t>$0</w:t>
            </w:r>
          </w:p>
        </w:tc>
      </w:tr>
      <w:tr w:rsidR="005224E5" w14:paraId="7EA63287" w14:textId="4491F8DA" w:rsidTr="00853FB6">
        <w:trPr>
          <w:jc w:val="center"/>
        </w:trPr>
        <w:tc>
          <w:tcPr>
            <w:tcW w:w="1135" w:type="dxa"/>
          </w:tcPr>
          <w:p w14:paraId="588296D7" w14:textId="48ED6ACA" w:rsidR="005224E5" w:rsidRPr="00CA09D8" w:rsidRDefault="005224E5" w:rsidP="00CA09D8">
            <w:pPr>
              <w:widowControl w:val="0"/>
              <w:overflowPunct/>
              <w:spacing w:after="0"/>
              <w:jc w:val="center"/>
              <w:textAlignment w:val="auto"/>
              <w:rPr>
                <w:b/>
              </w:rPr>
            </w:pPr>
            <w:r w:rsidRPr="00CA09D8">
              <w:rPr>
                <w:b/>
              </w:rPr>
              <w:t>B</w:t>
            </w:r>
          </w:p>
        </w:tc>
        <w:tc>
          <w:tcPr>
            <w:tcW w:w="1235" w:type="dxa"/>
          </w:tcPr>
          <w:p w14:paraId="24E1A0E1" w14:textId="224B7E74" w:rsidR="005224E5" w:rsidRDefault="005224E5" w:rsidP="00CA09D8">
            <w:pPr>
              <w:widowControl w:val="0"/>
              <w:overflowPunct/>
              <w:spacing w:after="0"/>
              <w:jc w:val="right"/>
              <w:textAlignment w:val="auto"/>
            </w:pPr>
            <w:r>
              <w:t>$20,000</w:t>
            </w:r>
          </w:p>
        </w:tc>
        <w:tc>
          <w:tcPr>
            <w:tcW w:w="1306" w:type="dxa"/>
          </w:tcPr>
          <w:p w14:paraId="7EE5AB5B" w14:textId="3CEAEE54" w:rsidR="005224E5" w:rsidRDefault="005224E5" w:rsidP="005224E5">
            <w:pPr>
              <w:widowControl w:val="0"/>
              <w:overflowPunct/>
              <w:spacing w:after="0"/>
              <w:jc w:val="right"/>
              <w:textAlignment w:val="auto"/>
            </w:pPr>
            <w:r>
              <w:t>4</w:t>
            </w:r>
          </w:p>
        </w:tc>
        <w:tc>
          <w:tcPr>
            <w:tcW w:w="1442" w:type="dxa"/>
          </w:tcPr>
          <w:p w14:paraId="4BEBB72C" w14:textId="7E0DA974" w:rsidR="005224E5" w:rsidRDefault="005224E5" w:rsidP="00CA09D8">
            <w:pPr>
              <w:widowControl w:val="0"/>
              <w:overflowPunct/>
              <w:spacing w:after="0"/>
              <w:jc w:val="right"/>
              <w:textAlignment w:val="auto"/>
            </w:pPr>
            <w:r>
              <w:t>$7,500</w:t>
            </w:r>
          </w:p>
        </w:tc>
        <w:tc>
          <w:tcPr>
            <w:tcW w:w="2070" w:type="dxa"/>
          </w:tcPr>
          <w:p w14:paraId="2CDEE93A" w14:textId="30C2A3D3" w:rsidR="005224E5" w:rsidRDefault="005224E5" w:rsidP="005224E5">
            <w:pPr>
              <w:widowControl w:val="0"/>
              <w:overflowPunct/>
              <w:spacing w:after="0"/>
              <w:jc w:val="right"/>
              <w:textAlignment w:val="auto"/>
            </w:pPr>
            <w:r>
              <w:t>$2,000</w:t>
            </w:r>
          </w:p>
        </w:tc>
        <w:tc>
          <w:tcPr>
            <w:tcW w:w="1196" w:type="dxa"/>
          </w:tcPr>
          <w:p w14:paraId="2F049B16" w14:textId="43B6B537" w:rsidR="005224E5" w:rsidRDefault="005224E5" w:rsidP="005224E5">
            <w:pPr>
              <w:widowControl w:val="0"/>
              <w:overflowPunct/>
              <w:spacing w:after="0"/>
              <w:jc w:val="right"/>
              <w:textAlignment w:val="auto"/>
            </w:pPr>
            <w:r>
              <w:t>$2,500</w:t>
            </w:r>
          </w:p>
        </w:tc>
      </w:tr>
      <w:tr w:rsidR="005224E5" w14:paraId="13868F61" w14:textId="5EBE774D" w:rsidTr="00853FB6">
        <w:trPr>
          <w:jc w:val="center"/>
        </w:trPr>
        <w:tc>
          <w:tcPr>
            <w:tcW w:w="1135" w:type="dxa"/>
          </w:tcPr>
          <w:p w14:paraId="2CADF822" w14:textId="2C374405" w:rsidR="005224E5" w:rsidRPr="00CA09D8" w:rsidRDefault="005224E5" w:rsidP="00CA09D8">
            <w:pPr>
              <w:widowControl w:val="0"/>
              <w:overflowPunct/>
              <w:spacing w:after="0"/>
              <w:jc w:val="center"/>
              <w:textAlignment w:val="auto"/>
              <w:rPr>
                <w:b/>
              </w:rPr>
            </w:pPr>
            <w:r>
              <w:rPr>
                <w:b/>
              </w:rPr>
              <w:t>C</w:t>
            </w:r>
          </w:p>
        </w:tc>
        <w:tc>
          <w:tcPr>
            <w:tcW w:w="1235" w:type="dxa"/>
          </w:tcPr>
          <w:p w14:paraId="2914F18A" w14:textId="453EDB9E" w:rsidR="005224E5" w:rsidRDefault="005224E5" w:rsidP="00CA09D8">
            <w:pPr>
              <w:widowControl w:val="0"/>
              <w:overflowPunct/>
              <w:spacing w:after="0"/>
              <w:jc w:val="right"/>
              <w:textAlignment w:val="auto"/>
            </w:pPr>
            <w:r>
              <w:t>$30,000</w:t>
            </w:r>
          </w:p>
        </w:tc>
        <w:tc>
          <w:tcPr>
            <w:tcW w:w="1306" w:type="dxa"/>
          </w:tcPr>
          <w:p w14:paraId="23831606" w14:textId="466D47F8" w:rsidR="005224E5" w:rsidRDefault="005224E5" w:rsidP="00CA09D8">
            <w:pPr>
              <w:widowControl w:val="0"/>
              <w:overflowPunct/>
              <w:spacing w:after="0"/>
              <w:jc w:val="right"/>
              <w:textAlignment w:val="auto"/>
            </w:pPr>
            <w:r>
              <w:t>6</w:t>
            </w:r>
          </w:p>
        </w:tc>
        <w:tc>
          <w:tcPr>
            <w:tcW w:w="1442" w:type="dxa"/>
          </w:tcPr>
          <w:p w14:paraId="76F0A451" w14:textId="6D2ACD56" w:rsidR="005224E5" w:rsidRDefault="005224E5" w:rsidP="00CA09D8">
            <w:pPr>
              <w:widowControl w:val="0"/>
              <w:overflowPunct/>
              <w:spacing w:after="0"/>
              <w:jc w:val="right"/>
              <w:textAlignment w:val="auto"/>
            </w:pPr>
            <w:r>
              <w:t>$10,000</w:t>
            </w:r>
          </w:p>
        </w:tc>
        <w:tc>
          <w:tcPr>
            <w:tcW w:w="2070" w:type="dxa"/>
          </w:tcPr>
          <w:p w14:paraId="08DCA3DA" w14:textId="2AA25912" w:rsidR="005224E5" w:rsidRDefault="005224E5" w:rsidP="00CA09D8">
            <w:pPr>
              <w:widowControl w:val="0"/>
              <w:overflowPunct/>
              <w:spacing w:after="0"/>
              <w:jc w:val="right"/>
              <w:textAlignment w:val="auto"/>
            </w:pPr>
            <w:r>
              <w:t>$3,000</w:t>
            </w:r>
          </w:p>
        </w:tc>
        <w:tc>
          <w:tcPr>
            <w:tcW w:w="1196" w:type="dxa"/>
          </w:tcPr>
          <w:p w14:paraId="4BF3BCC8" w14:textId="77AF4637" w:rsidR="005224E5" w:rsidRDefault="005224E5" w:rsidP="00CA09D8">
            <w:pPr>
              <w:widowControl w:val="0"/>
              <w:overflowPunct/>
              <w:spacing w:after="0"/>
              <w:jc w:val="right"/>
              <w:textAlignment w:val="auto"/>
            </w:pPr>
            <w:r>
              <w:t>$5,000</w:t>
            </w:r>
          </w:p>
        </w:tc>
      </w:tr>
    </w:tbl>
    <w:p w14:paraId="27BE8CF2" w14:textId="6234BB0B" w:rsidR="00860A8D" w:rsidRDefault="00860A8D" w:rsidP="00CA09D8">
      <w:pPr>
        <w:widowControl w:val="0"/>
        <w:overflowPunct/>
        <w:spacing w:after="0"/>
        <w:jc w:val="left"/>
        <w:textAlignment w:val="auto"/>
      </w:pPr>
    </w:p>
    <w:p w14:paraId="413E7C8B" w14:textId="77777777" w:rsidR="005224E5" w:rsidRDefault="005224E5" w:rsidP="005224E5">
      <w:pPr>
        <w:tabs>
          <w:tab w:val="left" w:pos="540"/>
        </w:tabs>
        <w:spacing w:after="120"/>
      </w:pPr>
      <w:r>
        <w:tab/>
        <w:t>Assuming a MARR of 5%, you must evaluate these investments and choose the most preferred.</w:t>
      </w:r>
    </w:p>
    <w:p w14:paraId="5785B2BD" w14:textId="0964A668" w:rsidR="005224E5" w:rsidRDefault="00853FB6" w:rsidP="00853FB6">
      <w:pPr>
        <w:tabs>
          <w:tab w:val="left" w:pos="900"/>
        </w:tabs>
        <w:spacing w:after="0"/>
        <w:ind w:left="907" w:hanging="360"/>
      </w:pPr>
      <w:r>
        <w:t>(a)</w:t>
      </w:r>
      <w:r>
        <w:tab/>
      </w:r>
      <w:r w:rsidR="005224E5">
        <w:t xml:space="preserve">Create a cash </w:t>
      </w:r>
      <w:r>
        <w:t>flow diagram for the investment and explain your choice of a planning horizon.</w:t>
      </w:r>
    </w:p>
    <w:p w14:paraId="5152EEE9" w14:textId="55384433" w:rsidR="005224E5" w:rsidRDefault="005224E5" w:rsidP="00853FB6">
      <w:pPr>
        <w:tabs>
          <w:tab w:val="left" w:pos="900"/>
        </w:tabs>
        <w:spacing w:after="0"/>
        <w:ind w:left="907" w:hanging="360"/>
      </w:pPr>
      <w:r>
        <w:t>(b)</w:t>
      </w:r>
      <w:r w:rsidR="00853FB6">
        <w:tab/>
      </w:r>
      <w:r>
        <w:t>Select the most preferred based on Present Worth (PW).</w:t>
      </w:r>
    </w:p>
    <w:p w14:paraId="3A306407" w14:textId="2ED82CD6" w:rsidR="005224E5" w:rsidRDefault="00853FB6" w:rsidP="00853FB6">
      <w:pPr>
        <w:tabs>
          <w:tab w:val="left" w:pos="900"/>
        </w:tabs>
        <w:spacing w:after="0"/>
        <w:ind w:left="907" w:hanging="360"/>
      </w:pPr>
      <w:r>
        <w:t>(c)</w:t>
      </w:r>
      <w:r>
        <w:tab/>
      </w:r>
      <w:r w:rsidR="005224E5">
        <w:t>Select the most preferred based on Future Worth (FW).</w:t>
      </w:r>
    </w:p>
    <w:p w14:paraId="33E38133" w14:textId="77777777" w:rsidR="00853FB6" w:rsidRDefault="005224E5" w:rsidP="00853FB6">
      <w:pPr>
        <w:tabs>
          <w:tab w:val="left" w:pos="900"/>
        </w:tabs>
        <w:spacing w:after="0"/>
        <w:ind w:left="907" w:hanging="360"/>
      </w:pPr>
      <w:r>
        <w:t>(d)</w:t>
      </w:r>
      <w:r w:rsidR="00853FB6">
        <w:tab/>
      </w:r>
      <w:r>
        <w:t>Select the most preferred based on Annual Worth (AW).</w:t>
      </w:r>
    </w:p>
    <w:p w14:paraId="3665ED5A" w14:textId="77777777" w:rsidR="00853FB6" w:rsidRDefault="00853FB6" w:rsidP="00853FB6">
      <w:pPr>
        <w:tabs>
          <w:tab w:val="left" w:pos="900"/>
        </w:tabs>
        <w:spacing w:after="0"/>
        <w:ind w:left="907" w:hanging="360"/>
      </w:pPr>
      <w:r>
        <w:t>(e)</w:t>
      </w:r>
      <w:r>
        <w:tab/>
      </w:r>
      <w:r w:rsidR="005224E5">
        <w:t>Plot AW as a function of the MARR for MARRs ranging from 0% to 20% in steps of 1%.</w:t>
      </w:r>
    </w:p>
    <w:p w14:paraId="5405E58F" w14:textId="06405BE7" w:rsidR="005224E5" w:rsidRDefault="00853FB6" w:rsidP="00853FB6">
      <w:pPr>
        <w:tabs>
          <w:tab w:val="left" w:pos="900"/>
        </w:tabs>
        <w:spacing w:after="0"/>
        <w:ind w:left="907" w:hanging="360"/>
      </w:pPr>
      <w:r>
        <w:t>(f)</w:t>
      </w:r>
      <w:r>
        <w:tab/>
      </w:r>
      <w:r w:rsidR="005224E5">
        <w:t>If you answers to (b)-(d) differ, explain why (don’t simply state they are different, probe the data above to determine what aspect of the investment causes these differences). If they are the same, justify that conclusion through an analysis of the data.</w:t>
      </w:r>
    </w:p>
    <w:p w14:paraId="0D07D3AA" w14:textId="5F4A1D60" w:rsidR="00DC3AB6" w:rsidRDefault="00144663" w:rsidP="00853FB6">
      <w:pPr>
        <w:widowControl w:val="0"/>
        <w:tabs>
          <w:tab w:val="left" w:pos="540"/>
        </w:tabs>
        <w:overflowPunct/>
        <w:spacing w:before="240" w:after="0"/>
        <w:ind w:left="547" w:hanging="547"/>
        <w:jc w:val="left"/>
        <w:textAlignment w:val="auto"/>
        <w:rPr>
          <w:szCs w:val="22"/>
        </w:rPr>
      </w:pPr>
      <w:r w:rsidRPr="00144663">
        <w:rPr>
          <w:b/>
          <w:szCs w:val="22"/>
        </w:rPr>
        <w:t>2.</w:t>
      </w:r>
      <w:r>
        <w:rPr>
          <w:szCs w:val="22"/>
        </w:rPr>
        <w:tab/>
      </w:r>
      <w:r w:rsidR="00DC3AB6">
        <w:rPr>
          <w:szCs w:val="22"/>
        </w:rPr>
        <w:t>Several years ago, a man won $</w:t>
      </w:r>
      <w:r w:rsidR="00DC3AB6" w:rsidRPr="00DC3AB6">
        <w:rPr>
          <w:szCs w:val="22"/>
        </w:rPr>
        <w:t>27 million in the state lottery. To pay off the winner, the sta</w:t>
      </w:r>
      <w:r w:rsidR="00DC3AB6">
        <w:rPr>
          <w:szCs w:val="22"/>
        </w:rPr>
        <w:t>te planned to make an initial $</w:t>
      </w:r>
      <w:r w:rsidR="00DC3AB6" w:rsidRPr="00DC3AB6">
        <w:rPr>
          <w:szCs w:val="22"/>
        </w:rPr>
        <w:t>1 million payment immediately, followe</w:t>
      </w:r>
      <w:r w:rsidR="00DC3AB6">
        <w:rPr>
          <w:szCs w:val="22"/>
        </w:rPr>
        <w:t>d by equal annual payments of $</w:t>
      </w:r>
      <w:r w:rsidR="00DC3AB6" w:rsidRPr="00DC3AB6">
        <w:rPr>
          <w:szCs w:val="22"/>
        </w:rPr>
        <w:t>1.3 million at the end of each year for the next 20 years. Just before receiving any money, the man offered to sell the winning ticket back to the state for a o</w:t>
      </w:r>
      <w:r w:rsidR="00DC3AB6">
        <w:rPr>
          <w:szCs w:val="22"/>
        </w:rPr>
        <w:t>ne- time immediate payment of $</w:t>
      </w:r>
      <w:r w:rsidR="00DC3AB6" w:rsidRPr="00DC3AB6">
        <w:rPr>
          <w:szCs w:val="22"/>
        </w:rPr>
        <w:t>14.4 million. If the state uses a 6</w:t>
      </w:r>
      <w:r w:rsidR="00DC3AB6">
        <w:rPr>
          <w:szCs w:val="22"/>
        </w:rPr>
        <w:t>%/</w:t>
      </w:r>
      <w:r w:rsidR="00DC3AB6" w:rsidRPr="00DC3AB6">
        <w:rPr>
          <w:szCs w:val="22"/>
        </w:rPr>
        <w:t>year MARR, should it accept the man’s offer? Use an annual worth analysis.</w:t>
      </w:r>
      <w:r w:rsidR="00DC3AB6">
        <w:rPr>
          <w:szCs w:val="22"/>
        </w:rPr>
        <w:t xml:space="preserve"> Explain your answer.</w:t>
      </w:r>
    </w:p>
    <w:p w14:paraId="433386C7" w14:textId="78E4B6F2" w:rsidR="0040032B" w:rsidRPr="00F53232" w:rsidRDefault="00F3446C" w:rsidP="00DC3AB6">
      <w:pPr>
        <w:widowControl w:val="0"/>
        <w:tabs>
          <w:tab w:val="left" w:pos="540"/>
        </w:tabs>
        <w:overflowPunct/>
        <w:spacing w:before="240" w:after="0"/>
        <w:ind w:left="547" w:hanging="547"/>
        <w:jc w:val="left"/>
        <w:textAlignment w:val="auto"/>
        <w:rPr>
          <w:szCs w:val="22"/>
        </w:rPr>
      </w:pPr>
      <w:r w:rsidRPr="00F3446C">
        <w:rPr>
          <w:b/>
          <w:szCs w:val="22"/>
        </w:rPr>
        <w:t>3.</w:t>
      </w:r>
      <w:r>
        <w:rPr>
          <w:szCs w:val="22"/>
        </w:rPr>
        <w:tab/>
      </w:r>
      <w:r w:rsidR="00DC3AB6">
        <w:rPr>
          <w:szCs w:val="22"/>
        </w:rPr>
        <w:t>Starting at age 25, you contribute $10,000 per year to your retirement plan for 40 years. Assume that the average annual effective interest rate of your portfolio is 5%. Compute the amount of money you can withdraw annually when you retire so that your money will be depleted in 25 years (at which point you will be 90 years old). If inflation averages 3% over the next 65 years, will this income be sufficient?</w:t>
      </w:r>
    </w:p>
    <w:sectPr w:rsidR="0040032B" w:rsidRPr="00F53232" w:rsidSect="00BF092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1120" w14:textId="77777777" w:rsidR="00DF2E76" w:rsidRDefault="00DF2E76">
      <w:r>
        <w:separator/>
      </w:r>
    </w:p>
  </w:endnote>
  <w:endnote w:type="continuationSeparator" w:id="0">
    <w:p w14:paraId="77F1B6BC" w14:textId="77777777" w:rsidR="00DF2E76" w:rsidRDefault="00DF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horndale for VST">
    <w:altName w:val="Times New Roman"/>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7997" w14:textId="1046F09C" w:rsidR="00DF2E76" w:rsidRPr="005C6BB0" w:rsidRDefault="00CA09D8" w:rsidP="005C6BB0">
    <w:pPr>
      <w:pStyle w:val="Footer"/>
      <w:tabs>
        <w:tab w:val="clear" w:pos="8640"/>
        <w:tab w:val="right" w:pos="9360"/>
      </w:tabs>
      <w:rPr>
        <w:rFonts w:ascii="Arial" w:hAnsi="Arial" w:cs="Arial"/>
        <w:sz w:val="16"/>
        <w:szCs w:val="16"/>
      </w:rPr>
    </w:pPr>
    <w:r>
      <w:rPr>
        <w:rFonts w:ascii="Arial" w:hAnsi="Arial" w:cs="Arial"/>
        <w:sz w:val="16"/>
        <w:szCs w:val="16"/>
      </w:rPr>
      <w:t>COLLEGE OF ENGINEERING</w:t>
    </w:r>
    <w:r>
      <w:rPr>
        <w:rFonts w:ascii="Arial" w:hAnsi="Arial" w:cs="Arial"/>
        <w:sz w:val="16"/>
        <w:szCs w:val="16"/>
      </w:rPr>
      <w:tab/>
    </w:r>
    <w:r w:rsidR="00DF2E76">
      <w:rPr>
        <w:rFonts w:ascii="Arial" w:hAnsi="Arial" w:cs="Arial"/>
        <w:sz w:val="16"/>
        <w:szCs w:val="16"/>
      </w:rPr>
      <w:tab/>
    </w:r>
    <w:r w:rsidR="005224E5">
      <w:rPr>
        <w:rFonts w:ascii="Arial" w:hAnsi="Arial" w:cs="Arial"/>
        <w:sz w:val="16"/>
        <w:szCs w:val="16"/>
      </w:rPr>
      <w:t>SPRING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E712" w14:textId="77777777" w:rsidR="00DF2E76" w:rsidRDefault="00DF2E76">
      <w:r>
        <w:separator/>
      </w:r>
    </w:p>
  </w:footnote>
  <w:footnote w:type="continuationSeparator" w:id="0">
    <w:p w14:paraId="6506C36E" w14:textId="77777777" w:rsidR="00DF2E76" w:rsidRDefault="00DF2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2280" w14:textId="65088148" w:rsidR="00DF2E76" w:rsidRPr="005C6BB0" w:rsidRDefault="00DF2E76"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860A8D">
      <w:rPr>
        <w:rFonts w:ascii="Arial" w:hAnsi="Arial" w:cs="Arial"/>
        <w:sz w:val="16"/>
        <w:szCs w:val="16"/>
      </w:rPr>
      <w:t>3096</w:t>
    </w:r>
    <w:r w:rsidRPr="005C6BB0">
      <w:rPr>
        <w:rFonts w:ascii="Arial" w:hAnsi="Arial" w:cs="Arial"/>
        <w:sz w:val="16"/>
        <w:szCs w:val="16"/>
      </w:rPr>
      <w:tab/>
    </w:r>
    <w:r w:rsidR="00CA09D8">
      <w:rPr>
        <w:rFonts w:ascii="Arial" w:hAnsi="Arial" w:cs="Arial"/>
        <w:sz w:val="16"/>
        <w:szCs w:val="16"/>
      </w:rPr>
      <w:t>EXAM NO. 2</w:t>
    </w:r>
    <w:r>
      <w:rPr>
        <w:rFonts w:ascii="Arial" w:hAnsi="Arial" w:cs="Arial"/>
        <w:sz w:val="16"/>
        <w:szCs w:val="16"/>
      </w:rPr>
      <w:tab/>
      <w:t xml:space="preserve">PAGE </w:t>
    </w:r>
    <w:r w:rsidRPr="00335E8A">
      <w:rPr>
        <w:rFonts w:ascii="Arial" w:hAnsi="Arial" w:cs="Arial"/>
        <w:sz w:val="16"/>
        <w:szCs w:val="16"/>
      </w:rPr>
      <w:fldChar w:fldCharType="begin"/>
    </w:r>
    <w:r w:rsidRPr="00335E8A">
      <w:rPr>
        <w:rFonts w:ascii="Arial" w:hAnsi="Arial" w:cs="Arial"/>
        <w:sz w:val="16"/>
        <w:szCs w:val="16"/>
      </w:rPr>
      <w:instrText xml:space="preserve"> PAGE   \* MERGEFORMAT </w:instrText>
    </w:r>
    <w:r w:rsidRPr="00335E8A">
      <w:rPr>
        <w:rFonts w:ascii="Arial" w:hAnsi="Arial" w:cs="Arial"/>
        <w:sz w:val="16"/>
        <w:szCs w:val="16"/>
      </w:rPr>
      <w:fldChar w:fldCharType="separate"/>
    </w:r>
    <w:r w:rsidR="00922046">
      <w:rPr>
        <w:rFonts w:ascii="Arial" w:hAnsi="Arial" w:cs="Arial"/>
        <w:noProof/>
        <w:sz w:val="16"/>
        <w:szCs w:val="16"/>
      </w:rPr>
      <w:t>1</w:t>
    </w:r>
    <w:r w:rsidRPr="00335E8A">
      <w:rPr>
        <w:rFonts w:ascii="Arial" w:hAnsi="Arial" w:cs="Arial"/>
        <w:sz w:val="16"/>
        <w:szCs w:val="16"/>
      </w:rPr>
      <w:fldChar w:fldCharType="end"/>
    </w:r>
    <w:r w:rsidR="00DC3AB6">
      <w:rPr>
        <w:rFonts w:ascii="Arial" w:hAnsi="Arial" w:cs="Arial"/>
        <w:sz w:val="16"/>
        <w:szCs w:val="16"/>
      </w:rPr>
      <w:t xml:space="preserve"> OF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34E5A"/>
    <w:multiLevelType w:val="hybridMultilevel"/>
    <w:tmpl w:val="614653DC"/>
    <w:lvl w:ilvl="0" w:tplc="05922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9">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2">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8">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3">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5">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1"/>
  </w:num>
  <w:num w:numId="3">
    <w:abstractNumId w:val="17"/>
  </w:num>
  <w:num w:numId="4">
    <w:abstractNumId w:val="5"/>
  </w:num>
  <w:num w:numId="5">
    <w:abstractNumId w:val="12"/>
  </w:num>
  <w:num w:numId="6">
    <w:abstractNumId w:val="15"/>
  </w:num>
  <w:num w:numId="7">
    <w:abstractNumId w:val="30"/>
  </w:num>
  <w:num w:numId="8">
    <w:abstractNumId w:val="18"/>
  </w:num>
  <w:num w:numId="9">
    <w:abstractNumId w:val="22"/>
  </w:num>
  <w:num w:numId="10">
    <w:abstractNumId w:val="9"/>
  </w:num>
  <w:num w:numId="11">
    <w:abstractNumId w:val="16"/>
  </w:num>
  <w:num w:numId="12">
    <w:abstractNumId w:val="20"/>
  </w:num>
  <w:num w:numId="13">
    <w:abstractNumId w:val="34"/>
  </w:num>
  <w:num w:numId="14">
    <w:abstractNumId w:val="26"/>
  </w:num>
  <w:num w:numId="15">
    <w:abstractNumId w:val="28"/>
  </w:num>
  <w:num w:numId="16">
    <w:abstractNumId w:val="19"/>
  </w:num>
  <w:num w:numId="17">
    <w:abstractNumId w:val="8"/>
  </w:num>
  <w:num w:numId="18">
    <w:abstractNumId w:val="10"/>
  </w:num>
  <w:num w:numId="19">
    <w:abstractNumId w:val="33"/>
  </w:num>
  <w:num w:numId="20">
    <w:abstractNumId w:val="0"/>
  </w:num>
  <w:num w:numId="21">
    <w:abstractNumId w:val="25"/>
  </w:num>
  <w:num w:numId="22">
    <w:abstractNumId w:val="31"/>
  </w:num>
  <w:num w:numId="23">
    <w:abstractNumId w:val="23"/>
  </w:num>
  <w:num w:numId="24">
    <w:abstractNumId w:val="29"/>
  </w:num>
  <w:num w:numId="25">
    <w:abstractNumId w:val="27"/>
  </w:num>
  <w:num w:numId="26">
    <w:abstractNumId w:val="4"/>
  </w:num>
  <w:num w:numId="27">
    <w:abstractNumId w:val="2"/>
  </w:num>
  <w:num w:numId="28">
    <w:abstractNumId w:val="35"/>
  </w:num>
  <w:num w:numId="29">
    <w:abstractNumId w:val="6"/>
  </w:num>
  <w:num w:numId="30">
    <w:abstractNumId w:val="3"/>
  </w:num>
  <w:num w:numId="31">
    <w:abstractNumId w:val="13"/>
  </w:num>
  <w:num w:numId="32">
    <w:abstractNumId w:val="14"/>
  </w:num>
  <w:num w:numId="33">
    <w:abstractNumId w:val="24"/>
  </w:num>
  <w:num w:numId="34">
    <w:abstractNumId w:val="21"/>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12E3C"/>
    <w:rsid w:val="00052A2B"/>
    <w:rsid w:val="000A53BF"/>
    <w:rsid w:val="0010051C"/>
    <w:rsid w:val="0011683C"/>
    <w:rsid w:val="00135C7D"/>
    <w:rsid w:val="00141DD1"/>
    <w:rsid w:val="00144663"/>
    <w:rsid w:val="001515C5"/>
    <w:rsid w:val="00165911"/>
    <w:rsid w:val="001675EF"/>
    <w:rsid w:val="001D4071"/>
    <w:rsid w:val="001D4542"/>
    <w:rsid w:val="001E2C95"/>
    <w:rsid w:val="002065B8"/>
    <w:rsid w:val="00206E4A"/>
    <w:rsid w:val="002123D2"/>
    <w:rsid w:val="00216F5D"/>
    <w:rsid w:val="002F78C0"/>
    <w:rsid w:val="00335E8A"/>
    <w:rsid w:val="003629DF"/>
    <w:rsid w:val="00362F92"/>
    <w:rsid w:val="003701B5"/>
    <w:rsid w:val="00393C56"/>
    <w:rsid w:val="003A0524"/>
    <w:rsid w:val="003F169C"/>
    <w:rsid w:val="0040032B"/>
    <w:rsid w:val="004049A0"/>
    <w:rsid w:val="00416BEF"/>
    <w:rsid w:val="004527E4"/>
    <w:rsid w:val="004568B1"/>
    <w:rsid w:val="00497960"/>
    <w:rsid w:val="004C0F57"/>
    <w:rsid w:val="004D6F32"/>
    <w:rsid w:val="00503C14"/>
    <w:rsid w:val="00520BDC"/>
    <w:rsid w:val="005224E5"/>
    <w:rsid w:val="00561C2C"/>
    <w:rsid w:val="00597070"/>
    <w:rsid w:val="005C6BB0"/>
    <w:rsid w:val="005D629D"/>
    <w:rsid w:val="0063252B"/>
    <w:rsid w:val="0069112F"/>
    <w:rsid w:val="006A663A"/>
    <w:rsid w:val="006D34E7"/>
    <w:rsid w:val="006D5040"/>
    <w:rsid w:val="006F5529"/>
    <w:rsid w:val="0071125E"/>
    <w:rsid w:val="007153CD"/>
    <w:rsid w:val="007418CA"/>
    <w:rsid w:val="00746974"/>
    <w:rsid w:val="00755331"/>
    <w:rsid w:val="007A7F12"/>
    <w:rsid w:val="007B7A41"/>
    <w:rsid w:val="007F4C83"/>
    <w:rsid w:val="0082484B"/>
    <w:rsid w:val="008523CD"/>
    <w:rsid w:val="00853FB6"/>
    <w:rsid w:val="00860A8D"/>
    <w:rsid w:val="0088527D"/>
    <w:rsid w:val="008E2D22"/>
    <w:rsid w:val="00922046"/>
    <w:rsid w:val="00961DDD"/>
    <w:rsid w:val="0099012E"/>
    <w:rsid w:val="009970D7"/>
    <w:rsid w:val="009F27CC"/>
    <w:rsid w:val="00A14916"/>
    <w:rsid w:val="00A34FF2"/>
    <w:rsid w:val="00A92CC4"/>
    <w:rsid w:val="00AD7973"/>
    <w:rsid w:val="00B23799"/>
    <w:rsid w:val="00B53402"/>
    <w:rsid w:val="00BC35B3"/>
    <w:rsid w:val="00BF0920"/>
    <w:rsid w:val="00C26CE6"/>
    <w:rsid w:val="00CA09D8"/>
    <w:rsid w:val="00CE5BA3"/>
    <w:rsid w:val="00D06B03"/>
    <w:rsid w:val="00D15A2B"/>
    <w:rsid w:val="00D72FE0"/>
    <w:rsid w:val="00D73C3D"/>
    <w:rsid w:val="00D81D27"/>
    <w:rsid w:val="00DC3AB6"/>
    <w:rsid w:val="00DD75E0"/>
    <w:rsid w:val="00DF2E76"/>
    <w:rsid w:val="00E14424"/>
    <w:rsid w:val="00E16CD1"/>
    <w:rsid w:val="00E55067"/>
    <w:rsid w:val="00E73480"/>
    <w:rsid w:val="00EE1650"/>
    <w:rsid w:val="00EE7A96"/>
    <w:rsid w:val="00F2050A"/>
    <w:rsid w:val="00F3446C"/>
    <w:rsid w:val="00F469E1"/>
    <w:rsid w:val="00F53232"/>
    <w:rsid w:val="00F66F7A"/>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colormenu v:ext="edit" strokecolor="black"/>
    </o:shapedefaults>
    <o:shapelayout v:ext="edit">
      <o:idmap v:ext="edit" data="1"/>
    </o:shapelayout>
  </w:shapeDefaults>
  <w:decimalSymbol w:val="."/>
  <w:listSeparator w:val=","/>
  <w14:docId w14:val="12F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20C4-F922-824B-9EF2-B4157F7C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377</Words>
  <Characters>2152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9</cp:revision>
  <cp:lastPrinted>2014-03-28T11:10:00Z</cp:lastPrinted>
  <dcterms:created xsi:type="dcterms:W3CDTF">2013-03-28T21:53:00Z</dcterms:created>
  <dcterms:modified xsi:type="dcterms:W3CDTF">2014-03-28T11:10:00Z</dcterms:modified>
</cp:coreProperties>
</file>