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994C3" w14:textId="7F7A6070" w:rsidR="00336943" w:rsidRDefault="00EF6293" w:rsidP="008D7FEF">
      <w:pPr>
        <w:pStyle w:val="papertitle"/>
      </w:pPr>
      <w:r>
        <w:t>Objective Evaluation Metrics for</w:t>
      </w:r>
      <w:r>
        <w:br/>
        <w:t xml:space="preserve"> Automatic Classification of EEG Events</w:t>
      </w:r>
    </w:p>
    <w:p w14:paraId="6B2CBF99" w14:textId="6BABCCB1" w:rsidR="008D7FEF" w:rsidRPr="00526F60" w:rsidRDefault="00EF6293" w:rsidP="00B573C2">
      <w:pPr>
        <w:pStyle w:val="author"/>
        <w:rPr>
          <w:vertAlign w:val="superscript"/>
        </w:rPr>
      </w:pPr>
      <w:r>
        <w:t>Vinit Shah</w:t>
      </w:r>
      <w:r>
        <w:rPr>
          <w:vertAlign w:val="superscript"/>
        </w:rPr>
        <w:t>1</w:t>
      </w:r>
      <w:r>
        <w:t>, M</w:t>
      </w:r>
      <w:r w:rsidR="0058710D" w:rsidRPr="0058710D">
        <w:t>eysam Golmohammadi</w:t>
      </w:r>
      <w:r w:rsidR="008D7FEF" w:rsidRPr="008D7FEF">
        <w:rPr>
          <w:vertAlign w:val="superscript"/>
        </w:rPr>
        <w:t>1</w:t>
      </w:r>
      <w:r w:rsidR="00526F60">
        <w:rPr>
          <w:vertAlign w:val="superscript"/>
        </w:rPr>
        <w:t xml:space="preserve">, </w:t>
      </w:r>
      <w:r w:rsidR="0058710D">
        <w:rPr>
          <w:vertAlign w:val="superscript"/>
        </w:rPr>
        <w:t>2</w:t>
      </w:r>
      <w:r w:rsidR="008D7FEF">
        <w:t>,</w:t>
      </w:r>
      <w:r w:rsidR="00E260F7" w:rsidRPr="00E260F7">
        <w:t xml:space="preserve"> </w:t>
      </w:r>
      <w:r w:rsidR="0058710D" w:rsidRPr="00012C4F">
        <w:t>Iyad Obeid</w:t>
      </w:r>
      <w:r>
        <w:rPr>
          <w:vertAlign w:val="superscript"/>
        </w:rPr>
        <w:t>1</w:t>
      </w:r>
      <w:r w:rsidR="008D7FEF">
        <w:t xml:space="preserve">, </w:t>
      </w:r>
      <w:r w:rsidR="0058710D" w:rsidRPr="00012C4F">
        <w:t>Joseph Picone</w:t>
      </w:r>
      <w:r>
        <w:rPr>
          <w:vertAlign w:val="superscript"/>
        </w:rPr>
        <w:t>1</w:t>
      </w:r>
    </w:p>
    <w:p w14:paraId="2EBF4AB7" w14:textId="5989CA38" w:rsidR="008D7FEF" w:rsidRDefault="008D7FEF" w:rsidP="008D7FEF">
      <w:pPr>
        <w:pStyle w:val="address"/>
      </w:pPr>
      <w:r>
        <w:rPr>
          <w:vertAlign w:val="superscript"/>
        </w:rPr>
        <w:t>1</w:t>
      </w:r>
      <w:r w:rsidR="0058710D" w:rsidRPr="0058710D">
        <w:t xml:space="preserve"> </w:t>
      </w:r>
      <w:r w:rsidR="00EF6293" w:rsidRPr="0058710D">
        <w:t>The Neural Engineering Data Consortium, Temple University</w:t>
      </w:r>
      <w:r w:rsidR="00EF6293">
        <w:br/>
        <w:t xml:space="preserve"> </w:t>
      </w:r>
      <w:r w:rsidR="00EF6293" w:rsidRPr="0058710D">
        <w:t>Philadelphia, Pennsylvania, USA</w:t>
      </w:r>
      <w:r w:rsidR="00EF6293">
        <w:t xml:space="preserve">, </w:t>
      </w:r>
    </w:p>
    <w:p w14:paraId="16DEB230" w14:textId="78CE9FAC" w:rsidR="008D7FEF" w:rsidRPr="00E260F7" w:rsidRDefault="00E260F7" w:rsidP="0058710D">
      <w:pPr>
        <w:pStyle w:val="address"/>
        <w:rPr>
          <w:rStyle w:val="e-mail"/>
        </w:rPr>
      </w:pPr>
      <w:r w:rsidRPr="00E260F7">
        <w:rPr>
          <w:vertAlign w:val="superscript"/>
        </w:rPr>
        <w:t>2</w:t>
      </w:r>
      <w:r w:rsidR="0058710D" w:rsidRPr="0058710D">
        <w:t xml:space="preserve"> </w:t>
      </w:r>
      <w:r w:rsidR="00EF6293">
        <w:t xml:space="preserve">Internet Brands, </w:t>
      </w:r>
      <w:r w:rsidR="00EF6293" w:rsidRPr="00C20549">
        <w:t>El Segundo,</w:t>
      </w:r>
      <w:r w:rsidR="00EF6293">
        <w:t xml:space="preserve"> California, </w:t>
      </w:r>
      <w:r w:rsidR="00EF6293" w:rsidRPr="00012C4F">
        <w:t>USA</w:t>
      </w:r>
    </w:p>
    <w:p w14:paraId="668E383C" w14:textId="19F47387" w:rsidR="00E30663" w:rsidRDefault="008D7FEF" w:rsidP="004534C9">
      <w:pPr>
        <w:pStyle w:val="abstract"/>
        <w:spacing w:after="120"/>
        <w:ind w:left="562" w:right="562" w:firstLine="0"/>
        <w:contextualSpacing w:val="0"/>
      </w:pPr>
      <w:r>
        <w:rPr>
          <w:b/>
        </w:rPr>
        <w:t>Abstract.</w:t>
      </w:r>
      <w:r>
        <w:t xml:space="preserve"> </w:t>
      </w:r>
      <w:r w:rsidR="00A15071" w:rsidRPr="00A15071">
        <w:t xml:space="preserve">The evaluation of machine learning algorithms in biomedical fields for applications involving sequential data lacks </w:t>
      </w:r>
      <w:r w:rsidR="00E30663">
        <w:t xml:space="preserve">both rigor and </w:t>
      </w:r>
      <w:r w:rsidR="00A15071" w:rsidRPr="00A15071">
        <w:t xml:space="preserve">standardization. Common quantitative scalar evaluation metrics such as sensitivity and specificity can often be misleading </w:t>
      </w:r>
      <w:r w:rsidR="00E30663">
        <w:t>and not accurately integrate application requirements</w:t>
      </w:r>
      <w:r w:rsidR="00A15071" w:rsidRPr="00A15071">
        <w:t xml:space="preserve">. Evaluation metrics must ultimately reflect the needs of users yet be sufficiently sensitive to guide algorithm development. </w:t>
      </w:r>
      <w:r w:rsidR="00E30663">
        <w:t>For example, f</w:t>
      </w:r>
      <w:r w:rsidR="00A15071" w:rsidRPr="00A15071">
        <w:t>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w:t>
      </w:r>
      <w:r w:rsidR="00E30663">
        <w:t xml:space="preserve"> </w:t>
      </w:r>
      <w:r w:rsidR="00A15071" w:rsidRPr="00A15071">
        <w:t>Though using a single metric is not often as insightful as examining performance over a range of operating conditions, there is</w:t>
      </w:r>
      <w:r w:rsidR="00E30663">
        <w:t xml:space="preserve">, nevertheless, </w:t>
      </w:r>
      <w:r w:rsidR="00A15071" w:rsidRPr="00A15071">
        <w:t>a need for a single scalar figure of merit.</w:t>
      </w:r>
    </w:p>
    <w:p w14:paraId="1F2D6488" w14:textId="51E7FDE3" w:rsidR="00A15071" w:rsidRDefault="00E30663" w:rsidP="00A15071">
      <w:pPr>
        <w:pStyle w:val="abstract"/>
        <w:spacing w:before="0" w:after="120"/>
        <w:ind w:left="562" w:right="562" w:firstLine="0"/>
        <w:contextualSpacing w:val="0"/>
      </w:pPr>
      <w:r>
        <w:t>In this chapter, w</w:t>
      </w:r>
      <w:r w:rsidR="00A15071" w:rsidRPr="00A15071">
        <w:t xml:space="preserve">e discuss the deficiencies of existing metrics for a seizure detection task and propose several new metrics that offer a more balanced view of performance. We demonstrate these metrics on a seizure detection task based on the TUH EEG </w:t>
      </w:r>
      <w:r w:rsidR="006E13E0">
        <w:t xml:space="preserve">Seizure </w:t>
      </w:r>
      <w:r w:rsidR="00A15071" w:rsidRPr="00A15071">
        <w:t xml:space="preserve">Corpus. We </w:t>
      </w:r>
      <w:r>
        <w:t xml:space="preserve">introduce </w:t>
      </w:r>
      <w:r w:rsidR="00A15071" w:rsidRPr="00A15071">
        <w:t>two promising metrics</w:t>
      </w:r>
      <w:r>
        <w:t xml:space="preserve">: (1) </w:t>
      </w:r>
      <w:r w:rsidR="001A4878">
        <w:t xml:space="preserve">a </w:t>
      </w:r>
      <w:r w:rsidR="00A15071" w:rsidRPr="00A15071">
        <w:t xml:space="preserve">measure based on a concept borrowed from the spoken term detection literature, Actual Term-Weighted Value, and </w:t>
      </w:r>
      <w:r>
        <w:t xml:space="preserve">(2) </w:t>
      </w:r>
      <w:r w:rsidR="00A15071" w:rsidRPr="00A15071">
        <w:t>a new metric, Time-Aligned Event Scoring (TAES), that accounts for the temporal alignment of the hypothesis to the reference annotation. We demonstrate that state of the art technology based on deep learning, though impressive in its performance, still needs significant improvement before it will meet very strict user acceptance guidelines.</w:t>
      </w:r>
    </w:p>
    <w:p w14:paraId="12854D2C" w14:textId="4EE53B26" w:rsidR="008D7FEF" w:rsidRPr="00E76F97" w:rsidRDefault="00E76F97" w:rsidP="00A17464">
      <w:pPr>
        <w:pStyle w:val="keywords"/>
        <w:ind w:left="562" w:right="562"/>
      </w:pPr>
      <w:r w:rsidRPr="00E76F97">
        <w:rPr>
          <w:b/>
        </w:rPr>
        <w:t>Keywords:</w:t>
      </w:r>
      <w:r>
        <w:t xml:space="preserve"> </w:t>
      </w:r>
      <w:r w:rsidR="00A15071">
        <w:t>Electroencephalogram, EEGs, scoring, evaluation metrics, machine learning, seizure detection</w:t>
      </w:r>
    </w:p>
    <w:p w14:paraId="1EEE54F2" w14:textId="77777777" w:rsidR="008D7FEF" w:rsidRPr="00C82C6E" w:rsidRDefault="008D7FEF" w:rsidP="008D7FEF">
      <w:pPr>
        <w:pStyle w:val="heading1"/>
      </w:pPr>
      <w:r w:rsidRPr="00C82C6E">
        <w:t>Introduction</w:t>
      </w:r>
    </w:p>
    <w:p w14:paraId="0E8BCDA1" w14:textId="5A106401" w:rsidR="008A5A8B" w:rsidRDefault="008A5A8B" w:rsidP="005F55DC">
      <w:pPr>
        <w:pStyle w:val="BodyText"/>
      </w:pPr>
      <w:r w:rsidRPr="005466BB">
        <w:t>Electroencephalograms (EEGs) are the primary means by which physicians diagnose and manage brain-related illnesses such as epilepsy, seizures and sleep disorders</w:t>
      </w:r>
      <w:r w:rsidR="00EC7FD8">
        <w:t xml:space="preserve"> </w:t>
      </w:r>
      <w:r w:rsidR="00720FCA">
        <w:fldChar w:fldCharType="begin"/>
      </w:r>
      <w:r w:rsidR="00720FCA">
        <w:instrText xml:space="preserve"> REF _Ref37030819 \n </w:instrText>
      </w:r>
      <w:r w:rsidR="00720FCA">
        <w:fldChar w:fldCharType="separate"/>
      </w:r>
      <w:r w:rsidR="00FF1B3A">
        <w:t>[1]</w:t>
      </w:r>
      <w:r w:rsidR="00720FCA">
        <w:fldChar w:fldCharType="end"/>
      </w:r>
      <w:r w:rsidRPr="005466BB">
        <w:t xml:space="preserve">. </w:t>
      </w:r>
      <w:r>
        <w:t xml:space="preserve">Automatic interpretation of EEGs </w:t>
      </w:r>
      <w:r w:rsidR="00E55F88">
        <w:t xml:space="preserve">by computer </w:t>
      </w:r>
      <w:r>
        <w:t xml:space="preserve">has been extensively studied </w:t>
      </w:r>
      <w:r w:rsidR="00E55F88">
        <w:t>for the past 40 years </w:t>
      </w:r>
      <w:r w:rsidR="00720FCA">
        <w:fldChar w:fldCharType="begin"/>
      </w:r>
      <w:r w:rsidR="00720FCA">
        <w:instrText xml:space="preserve"> REF _Ref37032350 \n </w:instrText>
      </w:r>
      <w:r w:rsidR="00720FCA">
        <w:fldChar w:fldCharType="separate"/>
      </w:r>
      <w:r w:rsidR="00FF1B3A">
        <w:t>[2]</w:t>
      </w:r>
      <w:r w:rsidR="00720FCA">
        <w:fldChar w:fldCharType="end"/>
      </w:r>
      <w:r w:rsidR="0066446C">
        <w:t>-</w:t>
      </w:r>
      <w:r w:rsidR="00720FCA">
        <w:fldChar w:fldCharType="begin"/>
      </w:r>
      <w:r w:rsidR="00720FCA">
        <w:instrText xml:space="preserve"> REF _Ref37032363 \n </w:instrText>
      </w:r>
      <w:r w:rsidR="00720FCA">
        <w:fldChar w:fldCharType="separate"/>
      </w:r>
      <w:r w:rsidR="00FF1B3A">
        <w:t>[6]</w:t>
      </w:r>
      <w:r w:rsidR="00720FCA">
        <w:fldChar w:fldCharType="end"/>
      </w:r>
      <w:r w:rsidR="0066446C">
        <w:t xml:space="preserve"> </w:t>
      </w:r>
      <w:r w:rsidR="00E55F88">
        <w:t>with mixed results</w:t>
      </w:r>
      <w:r>
        <w:t xml:space="preserve">. </w:t>
      </w:r>
      <w:r w:rsidR="0066446C">
        <w:t>E</w:t>
      </w:r>
      <w:r>
        <w:t xml:space="preserve">ven though many </w:t>
      </w:r>
      <w:r w:rsidR="00313513">
        <w:t xml:space="preserve">published </w:t>
      </w:r>
      <w:r>
        <w:t xml:space="preserve">research systems report impressive levels of accuracy, widespread adoption of commercial technology has yet to happen in clinical settings primarily due to the high false alarm rates of these </w:t>
      </w:r>
      <w:r>
        <w:lastRenderedPageBreak/>
        <w:t>systems</w:t>
      </w:r>
      <w:r w:rsidR="00561FEC">
        <w:t> </w:t>
      </w:r>
      <w:r w:rsidR="00720FCA">
        <w:fldChar w:fldCharType="begin"/>
      </w:r>
      <w:r w:rsidR="00720FCA">
        <w:instrText xml:space="preserve"> REF _Ref37033858 \n </w:instrText>
      </w:r>
      <w:r w:rsidR="00720FCA">
        <w:fldChar w:fldCharType="separate"/>
      </w:r>
      <w:r w:rsidR="00FF1B3A">
        <w:t>[7]</w:t>
      </w:r>
      <w:r w:rsidR="00720FCA">
        <w:fldChar w:fldCharType="end"/>
      </w:r>
      <w:r w:rsidR="00561FEC">
        <w:softHyphen/>
      </w:r>
      <w:r w:rsidR="00561FEC">
        <w:noBreakHyphen/>
      </w:r>
      <w:r w:rsidR="00720FCA">
        <w:fldChar w:fldCharType="begin"/>
      </w:r>
      <w:r w:rsidR="00720FCA">
        <w:instrText xml:space="preserve"> REF _Ref37033862 \n </w:instrText>
      </w:r>
      <w:r w:rsidR="00720FCA">
        <w:fldChar w:fldCharType="separate"/>
      </w:r>
      <w:r w:rsidR="00FF1B3A">
        <w:t>[9]</w:t>
      </w:r>
      <w:r w:rsidR="00720FCA">
        <w:fldChar w:fldCharType="end"/>
      </w:r>
      <w:r>
        <w:t>. In this</w:t>
      </w:r>
      <w:r w:rsidR="00230815">
        <w:t xml:space="preserve"> chapter</w:t>
      </w:r>
      <w:r>
        <w:t xml:space="preserve">, we investigate the gap in performance between research and commercial technology and discuss how these perceptions are influenced by a lack of </w:t>
      </w:r>
      <w:r w:rsidR="001A4878">
        <w:t xml:space="preserve">a </w:t>
      </w:r>
      <w:r>
        <w:t>standardized scoring methodolog</w:t>
      </w:r>
      <w:r w:rsidR="00C95320">
        <w:t>y</w:t>
      </w:r>
      <w:r>
        <w:t>.</w:t>
      </w:r>
    </w:p>
    <w:p w14:paraId="4B2BB460" w14:textId="41D95C5F" w:rsidR="005F55DC" w:rsidRDefault="00AA24E5" w:rsidP="008A5A8B">
      <w:pPr>
        <w:pStyle w:val="BodyText"/>
      </w:pPr>
      <w:r>
        <w:t>T</w:t>
      </w:r>
      <w:r w:rsidR="008A5A8B">
        <w:t>here are in general two</w:t>
      </w:r>
      <w:r w:rsidR="001A4878">
        <w:t xml:space="preserve"> </w:t>
      </w:r>
      <w:r w:rsidR="008A5A8B">
        <w:t>ways to evaluate machine learning technology: user acceptance testing </w:t>
      </w:r>
      <w:r w:rsidR="00720FCA">
        <w:fldChar w:fldCharType="begin"/>
      </w:r>
      <w:r w:rsidR="00720FCA">
        <w:instrText xml:space="preserve"> REF _Ref37058449 \n </w:instrText>
      </w:r>
      <w:r w:rsidR="00720FCA">
        <w:fldChar w:fldCharType="separate"/>
      </w:r>
      <w:r w:rsidR="00FF1B3A">
        <w:t>[10]</w:t>
      </w:r>
      <w:r w:rsidR="00720FCA">
        <w:fldChar w:fldCharType="end"/>
      </w:r>
      <w:r w:rsidR="00720FCA">
        <w:fldChar w:fldCharType="begin"/>
      </w:r>
      <w:r w:rsidR="00720FCA">
        <w:instrText xml:space="preserve"> REF _Ref37058455 \n </w:instrText>
      </w:r>
      <w:r w:rsidR="00720FCA">
        <w:fldChar w:fldCharType="separate"/>
      </w:r>
      <w:r w:rsidR="00FF1B3A">
        <w:t>[11]</w:t>
      </w:r>
      <w:r w:rsidR="00720FCA">
        <w:fldChar w:fldCharType="end"/>
      </w:r>
      <w:r>
        <w:t xml:space="preserve"> </w:t>
      </w:r>
      <w:r w:rsidR="008A5A8B">
        <w:t>and objective performance metrics based on annotated reference data</w:t>
      </w:r>
      <w:r w:rsidR="00451206">
        <w:t xml:space="preserve"> </w:t>
      </w:r>
      <w:r w:rsidR="00720FCA">
        <w:fldChar w:fldCharType="begin"/>
      </w:r>
      <w:r w:rsidR="00720FCA">
        <w:instrText xml:space="preserve"> REF _Ref37058527 \n </w:instrText>
      </w:r>
      <w:r w:rsidR="00720FCA">
        <w:fldChar w:fldCharType="separate"/>
      </w:r>
      <w:r w:rsidR="00FF1B3A">
        <w:t>[12]</w:t>
      </w:r>
      <w:r w:rsidR="00720FCA">
        <w:fldChar w:fldCharType="end"/>
      </w:r>
      <w:r w:rsidR="00720FCA">
        <w:fldChar w:fldCharType="begin"/>
      </w:r>
      <w:r w:rsidR="00720FCA">
        <w:instrText xml:space="preserve"> REF _Ref41214761 \n </w:instrText>
      </w:r>
      <w:r w:rsidR="00720FCA">
        <w:fldChar w:fldCharType="separate"/>
      </w:r>
      <w:r w:rsidR="00FF1B3A">
        <w:t>[13]</w:t>
      </w:r>
      <w:r w:rsidR="00720FCA">
        <w:fldChar w:fldCharType="end"/>
      </w:r>
      <w:r>
        <w:t xml:space="preserve">. </w:t>
      </w:r>
      <w:r w:rsidR="008A5A8B">
        <w:t xml:space="preserve">User acceptance testing is </w:t>
      </w:r>
      <w:r w:rsidR="001A4878">
        <w:t xml:space="preserve">slow, </w:t>
      </w:r>
      <w:r w:rsidR="008A5A8B">
        <w:t>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w:t>
      </w:r>
      <w:r>
        <w:t> </w:t>
      </w:r>
      <w:r w:rsidR="00720FCA">
        <w:fldChar w:fldCharType="begin"/>
      </w:r>
      <w:r w:rsidR="00720FCA">
        <w:instrText xml:space="preserve"> REF _Ref37058579 \n </w:instrText>
      </w:r>
      <w:r w:rsidR="00720FCA">
        <w:fldChar w:fldCharType="separate"/>
      </w:r>
      <w:r w:rsidR="00FF1B3A">
        <w:t>[14]</w:t>
      </w:r>
      <w:r w:rsidR="00720FCA">
        <w:fldChar w:fldCharType="end"/>
      </w:r>
      <w:r>
        <w:t>-</w:t>
      </w:r>
      <w:r w:rsidR="00720FCA">
        <w:fldChar w:fldCharType="begin"/>
      </w:r>
      <w:r w:rsidR="00720FCA">
        <w:instrText xml:space="preserve"> REF _Ref37058581 \n </w:instrText>
      </w:r>
      <w:r w:rsidR="00720FCA">
        <w:fldChar w:fldCharType="separate"/>
      </w:r>
      <w:r w:rsidR="00FF1B3A">
        <w:t>[16]</w:t>
      </w:r>
      <w:r w:rsidR="00720FCA">
        <w:fldChar w:fldCharType="end"/>
      </w:r>
      <w:r w:rsidR="008A5A8B">
        <w:t>. W</w:t>
      </w:r>
      <w:r w:rsidR="00C928A5">
        <w:t xml:space="preserve">hen using objective performance metrics, </w:t>
      </w:r>
      <w:r w:rsidR="008A5A8B">
        <w:t>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w:t>
      </w:r>
      <w:r>
        <w:t> </w:t>
      </w:r>
      <w:r w:rsidR="00720FCA">
        <w:fldChar w:fldCharType="begin"/>
      </w:r>
      <w:r w:rsidR="00720FCA">
        <w:instrText xml:space="preserve"> REF _Ref37058646 \n</w:instrText>
      </w:r>
      <w:r w:rsidR="00720FCA">
        <w:instrText xml:space="preserve"> </w:instrText>
      </w:r>
      <w:r w:rsidR="00720FCA">
        <w:fldChar w:fldCharType="separate"/>
      </w:r>
      <w:r w:rsidR="00FF1B3A">
        <w:t>[17]</w:t>
      </w:r>
      <w:r w:rsidR="00720FCA">
        <w:fldChar w:fldCharType="end"/>
      </w:r>
      <w:r w:rsidR="00720FCA">
        <w:fldChar w:fldCharType="begin"/>
      </w:r>
      <w:r w:rsidR="00720FCA">
        <w:instrText xml:space="preserve"> REF _Ref37058650 \n </w:instrText>
      </w:r>
      <w:r w:rsidR="00720FCA">
        <w:fldChar w:fldCharType="separate"/>
      </w:r>
      <w:r w:rsidR="00FF1B3A">
        <w:t>[18]</w:t>
      </w:r>
      <w:r w:rsidR="00720FCA">
        <w:fldChar w:fldCharType="end"/>
      </w:r>
      <w:r w:rsidR="008A5A8B">
        <w:t>, word error rate remains a valid metric for technology development and assessment</w:t>
      </w:r>
      <w:r>
        <w:t xml:space="preserve"> in speech recognition</w:t>
      </w:r>
      <w:r w:rsidR="008A5A8B">
        <w:t>.</w:t>
      </w:r>
      <w:r w:rsidR="005F55DC">
        <w:t xml:space="preserve"> </w:t>
      </w:r>
    </w:p>
    <w:p w14:paraId="47AD661E" w14:textId="4AB97277" w:rsidR="00F9251D" w:rsidRDefault="008A5A8B" w:rsidP="008A5A8B">
      <w:pPr>
        <w:pStyle w:val="BodyText"/>
      </w:pPr>
      <w:r>
        <w:t xml:space="preserve">Sequential pattern recognition applications, such as speech recognition, keyword search or EEG </w:t>
      </w:r>
      <w:r w:rsidR="00C928A5">
        <w:t>event detection</w:t>
      </w:r>
      <w:r>
        <w:t>, require additional considerations. Data</w:t>
      </w:r>
      <w:r w:rsidR="00642970">
        <w:t xml:space="preserve"> </w:t>
      </w:r>
      <w:r>
        <w:t>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w:t>
      </w:r>
    </w:p>
    <w:p w14:paraId="1AFD41EC" w14:textId="4266E000" w:rsidR="008A5A8B" w:rsidRDefault="008A5A8B" w:rsidP="008A5A8B">
      <w:pPr>
        <w:pStyle w:val="BodyText"/>
      </w:pPr>
      <w:r>
        <w:t>Unfortunately, there is no such standardization in the EEG literature</w:t>
      </w:r>
      <w:r w:rsidRPr="008102D6">
        <w:t>. For example, Wilson et al.</w:t>
      </w:r>
      <w:r w:rsidR="00AA24E5">
        <w:t> </w:t>
      </w:r>
      <w:r w:rsidR="00720FCA">
        <w:fldChar w:fldCharType="begin"/>
      </w:r>
      <w:r w:rsidR="00720FCA">
        <w:instrText xml:space="preserve"> REF _Ref37058699 \n </w:instrText>
      </w:r>
      <w:r w:rsidR="00720FCA">
        <w:fldChar w:fldCharType="separate"/>
      </w:r>
      <w:r w:rsidR="00FF1B3A">
        <w:t>[4]</w:t>
      </w:r>
      <w:r w:rsidR="00720FCA">
        <w:fldChar w:fldCharType="end"/>
      </w:r>
      <w:r w:rsidR="00AA24E5">
        <w:t xml:space="preserve"> </w:t>
      </w:r>
      <w:r w:rsidRPr="008102D6">
        <w:t xml:space="preserve">advocates using a term-based metric involving sensitivity and specificity. </w:t>
      </w:r>
      <w:r w:rsidR="00532767">
        <w:t>A</w:t>
      </w:r>
      <w:r w:rsidRPr="008102D6">
        <w:t xml:space="preserve"> term </w:t>
      </w:r>
      <w:r w:rsidR="00532767">
        <w:t xml:space="preserve">was defined as a connection of consecutive decisions </w:t>
      </w:r>
      <w:r w:rsidR="001A4878">
        <w:t xml:space="preserve">of </w:t>
      </w:r>
      <w:r w:rsidR="00532767">
        <w:t>the same type of event.</w:t>
      </w:r>
      <w:r w:rsidRPr="008102D6">
        <w:t xml:space="preserve"> </w:t>
      </w:r>
      <w:r>
        <w:t xml:space="preserve">A hypothesis is counted as a </w:t>
      </w:r>
      <w:r w:rsidRPr="008102D6">
        <w:t>true positive</w:t>
      </w:r>
      <w:r>
        <w:t xml:space="preserve"> </w:t>
      </w:r>
      <w:r w:rsidRPr="008102D6">
        <w:t xml:space="preserve">when </w:t>
      </w:r>
      <w:r>
        <w:t xml:space="preserve">it </w:t>
      </w:r>
      <w:r w:rsidRPr="008102D6">
        <w:t xml:space="preserve">overlaps with one or more reference annotations. </w:t>
      </w:r>
      <w:r>
        <w:t>A f</w:t>
      </w:r>
      <w:r w:rsidRPr="008102D6">
        <w:t>alse positive</w:t>
      </w:r>
      <w:r>
        <w:t xml:space="preserve"> </w:t>
      </w:r>
      <w:r w:rsidRPr="008102D6">
        <w:t>correspond</w:t>
      </w:r>
      <w:r>
        <w:t>s</w:t>
      </w:r>
      <w:r w:rsidRPr="008102D6">
        <w:t xml:space="preserve"> to </w:t>
      </w:r>
      <w:r>
        <w:t xml:space="preserve">an </w:t>
      </w:r>
      <w:r w:rsidRPr="008102D6">
        <w:t>event</w:t>
      </w:r>
      <w:r>
        <w:t xml:space="preserve"> </w:t>
      </w:r>
      <w:r w:rsidRPr="008102D6">
        <w:t xml:space="preserve">in which </w:t>
      </w:r>
      <w:r>
        <w:t xml:space="preserve">a </w:t>
      </w:r>
      <w:r w:rsidRPr="008102D6">
        <w:t>hypothesis annotation</w:t>
      </w:r>
      <w:r>
        <w:t xml:space="preserve"> does </w:t>
      </w:r>
      <w:r w:rsidRPr="008102D6">
        <w:t xml:space="preserve">not overlap with any of the reference annotations. Kelly et al. </w:t>
      </w:r>
      <w:r w:rsidR="00720FCA">
        <w:fldChar w:fldCharType="begin"/>
      </w:r>
      <w:r w:rsidR="00720FCA">
        <w:instrText xml:space="preserve"> REF _Ref37058728 \n </w:instrText>
      </w:r>
      <w:r w:rsidR="00720FCA">
        <w:fldChar w:fldCharType="separate"/>
      </w:r>
      <w:r w:rsidR="00FF1B3A">
        <w:t>[19]</w:t>
      </w:r>
      <w:r w:rsidR="00720FCA">
        <w:fldChar w:fldCharType="end"/>
      </w:r>
      <w:r w:rsidR="00AA24E5">
        <w:t xml:space="preserve"> </w:t>
      </w:r>
      <w:r w:rsidRPr="008102D6">
        <w:t xml:space="preserve">recommends using </w:t>
      </w:r>
      <w:r w:rsidRPr="008A5A8B">
        <w:t>a metric that measures sensitivity and false alarms. A hypothesis is considered a true positive when time of detection is within two minutes of the seizure onset. Otherwise it is considered a false positive.</w:t>
      </w:r>
      <w:r w:rsidRPr="008102D6">
        <w:t xml:space="preserve"> Baldassano et al. </w:t>
      </w:r>
      <w:r w:rsidR="00720FCA">
        <w:fldChar w:fldCharType="begin"/>
      </w:r>
      <w:r w:rsidR="00720FCA">
        <w:instrText xml:space="preserve"> REF _Ref37058753 \n </w:instrText>
      </w:r>
      <w:r w:rsidR="00720FCA">
        <w:fldChar w:fldCharType="separate"/>
      </w:r>
      <w:r w:rsidR="00FF1B3A">
        <w:t>[20]</w:t>
      </w:r>
      <w:r w:rsidR="00720FCA">
        <w:fldChar w:fldCharType="end"/>
      </w:r>
      <w:r w:rsidR="00AA24E5">
        <w:t xml:space="preserve"> </w:t>
      </w:r>
      <w:r w:rsidRPr="008102D6">
        <w:t xml:space="preserve">uses an epoch-based metric </w:t>
      </w:r>
      <w:r>
        <w:t xml:space="preserve">that measures </w:t>
      </w:r>
      <w:r w:rsidRPr="008102D6">
        <w:t>false positive</w:t>
      </w:r>
      <w:r>
        <w:t xml:space="preserve"> and </w:t>
      </w:r>
      <w:r w:rsidRPr="008102D6">
        <w:t>negative rates a</w:t>
      </w:r>
      <w:r>
        <w:t xml:space="preserve">s well as </w:t>
      </w:r>
      <w:r w:rsidRPr="008102D6">
        <w:t>latency</w:t>
      </w:r>
      <w:r>
        <w:t xml:space="preserve">. </w:t>
      </w:r>
      <w:r w:rsidRPr="008102D6">
        <w:t xml:space="preserve">The </w:t>
      </w:r>
      <w:r>
        <w:t xml:space="preserve">development, evaluation and </w:t>
      </w:r>
      <w:r w:rsidRPr="008102D6">
        <w:t>ranking of various machine learning approaches</w:t>
      </w:r>
      <w:r>
        <w:t xml:space="preserve"> is highly dependent on the choice of a metric.</w:t>
      </w:r>
    </w:p>
    <w:p w14:paraId="357D1295" w14:textId="356CC24A" w:rsidR="00D60A3E" w:rsidRDefault="008A5A8B" w:rsidP="00DF4924">
      <w:pPr>
        <w:pStyle w:val="BodyText"/>
        <w:widowControl w:val="0"/>
        <w:ind w:firstLine="230"/>
      </w:pPr>
      <w:r>
        <w:t>A large class of bioengineering problems, including seizure detection, involve prediction as well as classification. In prediction problems, we are often concerned with how far in advance of an event</w:t>
      </w:r>
      <w:r w:rsidR="001A4878">
        <w:t xml:space="preserve"> </w:t>
      </w:r>
      <w:r>
        <w:t xml:space="preserve">we can predict an outcome. </w:t>
      </w:r>
      <w:r w:rsidR="001A4878">
        <w:t>The a</w:t>
      </w:r>
      <w:r>
        <w:t xml:space="preserve">ccuracy of </w:t>
      </w:r>
      <w:r w:rsidR="001A4878">
        <w:t xml:space="preserve">a </w:t>
      </w:r>
      <w:r>
        <w:t>prediction varies with latency</w:t>
      </w:r>
      <w:r w:rsidR="001A4878">
        <w:t xml:space="preserve">. By convention, we refer to negative latency as prediction before the event has occurred. Positive latency means a system outputs a hypothesis after an </w:t>
      </w:r>
      <w:r w:rsidR="001A4878">
        <w:lastRenderedPageBreak/>
        <w:t xml:space="preserve">event has occurred. It is not uncommon </w:t>
      </w:r>
      <w:r w:rsidR="00C928A5">
        <w:t xml:space="preserve">for </w:t>
      </w:r>
      <w:r w:rsidR="001A4878">
        <w:t xml:space="preserve">machine learning systems to have significant amounts of latency – often tens of seconds for </w:t>
      </w:r>
      <w:r w:rsidR="00C928A5">
        <w:t>seizure detection</w:t>
      </w:r>
      <w:r w:rsidR="001A4878">
        <w:t>. Similarly, prediction of a seizure before the seizure has occurred is an extremely valuable technology</w:t>
      </w:r>
      <w:r w:rsidR="00C928A5">
        <w:t xml:space="preserve"> with far-reaching clinical implications</w:t>
      </w:r>
      <w:r w:rsidR="001A4878">
        <w:t xml:space="preserve"> if the onset of a seizure </w:t>
      </w:r>
      <w:r w:rsidR="00C928A5">
        <w:t xml:space="preserve">can be predicted </w:t>
      </w:r>
      <w:r w:rsidR="001A4878">
        <w:t>long in advance (e.g., ten</w:t>
      </w:r>
      <w:r w:rsidR="009A55B8">
        <w:t>s</w:t>
      </w:r>
      <w:r w:rsidR="001A4878">
        <w:t xml:space="preserve"> of minutes)</w:t>
      </w:r>
      <w:r w:rsidR="00C928A5">
        <w:t xml:space="preserve"> of the actual event</w:t>
      </w:r>
      <w:r w:rsidR="001A4878">
        <w:t>. This gives healthcare providers a chance to perform a medical intervention as well as allow</w:t>
      </w:r>
      <w:r w:rsidR="00C928A5">
        <w:t xml:space="preserve">s </w:t>
      </w:r>
      <w:r w:rsidR="001A4878">
        <w:t xml:space="preserve">the patient to </w:t>
      </w:r>
      <w:r w:rsidR="00D60A3E">
        <w:t>make necessary preparations for a medical emergency.</w:t>
      </w:r>
    </w:p>
    <w:p w14:paraId="58695265" w14:textId="28667118" w:rsidR="008A5A8B" w:rsidRDefault="001A4878" w:rsidP="00DF4924">
      <w:pPr>
        <w:pStyle w:val="BodyText"/>
        <w:widowControl w:val="0"/>
        <w:ind w:firstLine="230"/>
      </w:pPr>
      <w:r>
        <w:t xml:space="preserve"> </w:t>
      </w:r>
      <w:r w:rsidR="00D60A3E">
        <w:t xml:space="preserve">Measuring performance as a function of latency </w:t>
      </w:r>
      <w:r w:rsidR="008A5A8B">
        <w:t xml:space="preserve">adds some complexity to the process. Winterhalder et al. </w:t>
      </w:r>
      <w:r w:rsidR="00720FCA">
        <w:fldChar w:fldCharType="begin"/>
      </w:r>
      <w:r w:rsidR="00720FCA">
        <w:instrText xml:space="preserve"> REF _Ref37058781 \n </w:instrText>
      </w:r>
      <w:r w:rsidR="00720FCA">
        <w:fldChar w:fldCharType="separate"/>
      </w:r>
      <w:r w:rsidR="00FF1B3A">
        <w:t>[21]</w:t>
      </w:r>
      <w:r w:rsidR="00720FCA">
        <w:fldChar w:fldCharType="end"/>
      </w:r>
      <w:r w:rsidR="00AA24E5">
        <w:t xml:space="preserve"> </w:t>
      </w:r>
      <w:r w:rsidR="008A5A8B">
        <w:t>have studied this problem extensively and argue for</w:t>
      </w:r>
      <w:r w:rsidR="00C928A5">
        <w:t xml:space="preserve"> </w:t>
      </w:r>
      <w:r w:rsidR="008A5A8B">
        <w:t xml:space="preserve">scoring based on long-term considerations. In this </w:t>
      </w:r>
      <w:r w:rsidR="00AA24E5">
        <w:t>chapter</w:t>
      </w:r>
      <w:r w:rsidR="008A5A8B">
        <w:t>, we are not concerned with these types of prediction problems. We are focused mainly on assessing the accuracy of classification</w:t>
      </w:r>
      <w:r w:rsidR="00D60A3E">
        <w:t xml:space="preserve"> of events </w:t>
      </w:r>
      <w:r w:rsidR="008A5A8B">
        <w:t>and assessing the proximity of these classifications to the actual event.</w:t>
      </w:r>
      <w:r w:rsidR="00D60A3E">
        <w:t xml:space="preserve"> We refer to this as time-aligned scoring.</w:t>
      </w:r>
    </w:p>
    <w:p w14:paraId="190E6A59" w14:textId="15A9CA4E" w:rsidR="00F9251D" w:rsidRDefault="00F9251D" w:rsidP="00F9251D">
      <w:pPr>
        <w:pStyle w:val="BodyText"/>
      </w:pPr>
      <w:r>
        <w:t xml:space="preserve">Therefore, </w:t>
      </w:r>
      <w:r w:rsidR="00D60A3E">
        <w:t xml:space="preserve">in this chapter, </w:t>
      </w:r>
      <w:r>
        <w:t>we analyze several popular scoring metrics and discuss their strengths and weaknesses on sequential decoding problems. We introduce several alternatives, such as the Actual Term-Weighted Value (ATWV) </w:t>
      </w:r>
      <w:r w:rsidR="00720FCA">
        <w:fldChar w:fldCharType="begin"/>
      </w:r>
      <w:r w:rsidR="00720FCA">
        <w:instrText xml:space="preserve"> REF _Ref37058847 \n </w:instrText>
      </w:r>
      <w:r w:rsidR="00720FCA">
        <w:fldChar w:fldCharType="separate"/>
      </w:r>
      <w:r w:rsidR="00FF1B3A">
        <w:t>[22]</w:t>
      </w:r>
      <w:r w:rsidR="00720FCA">
        <w:fldChar w:fldCharType="end"/>
      </w:r>
      <w:r w:rsidR="00720FCA">
        <w:fldChar w:fldCharType="begin"/>
      </w:r>
      <w:r w:rsidR="00720FCA">
        <w:instrText xml:space="preserve"> REF _Ref37179880 \n </w:instrText>
      </w:r>
      <w:r w:rsidR="00720FCA">
        <w:fldChar w:fldCharType="separate"/>
      </w:r>
      <w:r w:rsidR="00FF1B3A">
        <w:t>[23]</w:t>
      </w:r>
      <w:r w:rsidR="00720FCA">
        <w:fldChar w:fldCharType="end"/>
      </w:r>
      <w:r w:rsidR="00C928A5">
        <w:t xml:space="preserve"> and Time-Aligned Event Scoring (TAES), </w:t>
      </w:r>
      <w:r>
        <w:t xml:space="preserve">and discuss their relevance to </w:t>
      </w:r>
      <w:r w:rsidR="00C928A5">
        <w:t>the seizure detection problem</w:t>
      </w:r>
      <w:r>
        <w:t>.</w:t>
      </w:r>
      <w:r w:rsidR="00315BE5">
        <w:t xml:space="preserve"> </w:t>
      </w:r>
      <w:r>
        <w:t xml:space="preserve">We present a comparison of performance for several systems using these metrics and discuss how this correlates with </w:t>
      </w:r>
      <w:r w:rsidR="009D6970">
        <w:t xml:space="preserve">a proxy for </w:t>
      </w:r>
      <w:r>
        <w:t>overall user acceptance</w:t>
      </w:r>
      <w:r w:rsidR="009D6970">
        <w:t xml:space="preserve"> involving a combination of sensitivity and false alarm rate</w:t>
      </w:r>
      <w:r>
        <w:t>.</w:t>
      </w:r>
    </w:p>
    <w:p w14:paraId="1A86903B" w14:textId="56A4195F" w:rsidR="00707750" w:rsidRDefault="00707750" w:rsidP="00F9251D">
      <w:pPr>
        <w:pStyle w:val="BodyText"/>
        <w:widowControl w:val="0"/>
        <w:ind w:firstLine="230"/>
      </w:pPr>
      <w:r>
        <w:t>Comparing</w:t>
      </w:r>
      <w:r w:rsidR="0043638E">
        <w:t xml:space="preserve"> systems using a single operating point is, of course, not always correct. It is quite possible the systems are simply operating at different points on what is known as their Receiver Operating Characteristic (ROC) curve. This was a problem well-studied in the mid-1960’s with the </w:t>
      </w:r>
      <w:r w:rsidR="00F9251D">
        <w:t>emergence</w:t>
      </w:r>
      <w:r w:rsidR="0043638E">
        <w:t xml:space="preserve"> of communication theory</w:t>
      </w:r>
      <w:r w:rsidR="00F9251D">
        <w:t> </w:t>
      </w:r>
      <w:r w:rsidR="00720FCA">
        <w:fldChar w:fldCharType="begin"/>
      </w:r>
      <w:r w:rsidR="00720FCA">
        <w:instrText xml:space="preserve"> REF _Ref37555055 \n </w:instrText>
      </w:r>
      <w:r w:rsidR="00720FCA">
        <w:fldChar w:fldCharType="separate"/>
      </w:r>
      <w:r w:rsidR="00FF1B3A">
        <w:t>[15]</w:t>
      </w:r>
      <w:r w:rsidR="00720FCA">
        <w:fldChar w:fldCharType="end"/>
      </w:r>
      <w:r w:rsidR="0043638E">
        <w:t>. In machine learning, we often prefer to analyze systems using a Detection Error Tradeoff (DET) curve</w:t>
      </w:r>
      <w:r w:rsidR="00F9251D">
        <w:t> </w:t>
      </w:r>
      <w:r w:rsidR="00720FCA">
        <w:fldChar w:fldCharType="begin"/>
      </w:r>
      <w:r w:rsidR="00720FCA">
        <w:instrText xml:space="preserve"> REF _Ref37179880 \n </w:instrText>
      </w:r>
      <w:r w:rsidR="00720FCA">
        <w:fldChar w:fldCharType="separate"/>
      </w:r>
      <w:r w:rsidR="00FF1B3A">
        <w:t>[23]</w:t>
      </w:r>
      <w:r w:rsidR="00720FCA">
        <w:fldChar w:fldCharType="end"/>
      </w:r>
      <w:r w:rsidR="00F9251D">
        <w:noBreakHyphen/>
      </w:r>
      <w:r w:rsidR="00720FCA">
        <w:fldChar w:fldCharType="begin"/>
      </w:r>
      <w:r w:rsidR="00720FCA">
        <w:instrText xml:space="preserve"> REF _Ref37179899 \n </w:instrText>
      </w:r>
      <w:r w:rsidR="00720FCA">
        <w:fldChar w:fldCharType="separate"/>
      </w:r>
      <w:r w:rsidR="00FF1B3A">
        <w:t>[25]</w:t>
      </w:r>
      <w:r w:rsidR="00720FCA">
        <w:fldChar w:fldCharType="end"/>
      </w:r>
      <w:r w:rsidR="0043638E">
        <w:t xml:space="preserve"> . These curves provide a holistic view of </w:t>
      </w:r>
      <w:r w:rsidR="00F9251D">
        <w:t>performance but</w:t>
      </w:r>
      <w:r w:rsidR="0043638E">
        <w:t xml:space="preserve"> make it difficult to tune a system </w:t>
      </w:r>
      <w:r w:rsidR="00F9251D">
        <w:t xml:space="preserve">at a </w:t>
      </w:r>
      <w:r w:rsidR="0043638E">
        <w:t>specific operating point. We will also briefly discuss holistic measures based on DET analysis.</w:t>
      </w:r>
    </w:p>
    <w:p w14:paraId="2FCED92E" w14:textId="6084AAC0" w:rsidR="005F55DC" w:rsidRDefault="00CA0ECB" w:rsidP="004534C9">
      <w:pPr>
        <w:pStyle w:val="heading1"/>
      </w:pPr>
      <w:bookmarkStart w:id="0" w:name="_Ref51804047"/>
      <w:r>
        <w:t>Basic Error Measures and Relevant</w:t>
      </w:r>
      <w:bookmarkStart w:id="1" w:name="_Ref37203160"/>
      <w:r>
        <w:t xml:space="preserve"> </w:t>
      </w:r>
      <w:r w:rsidR="008A5A8B">
        <w:t>Derived</w:t>
      </w:r>
      <w:r w:rsidR="002372A4">
        <w:t xml:space="preserve"> </w:t>
      </w:r>
      <w:r w:rsidR="008A5A8B">
        <w:t>Measures</w:t>
      </w:r>
      <w:bookmarkEnd w:id="0"/>
      <w:bookmarkEnd w:id="1"/>
    </w:p>
    <w:p w14:paraId="241033E5" w14:textId="51C4A919" w:rsidR="008A5A8B" w:rsidRDefault="008A5A8B" w:rsidP="004534C9">
      <w:pPr>
        <w:spacing w:after="120"/>
        <w:ind w:firstLine="230"/>
        <w:rPr>
          <w:lang w:eastAsia="en-US"/>
        </w:rPr>
      </w:pPr>
      <w:r>
        <w:t>Researchers in biomedical fields typically report performance in terms of sensitivity and specificity</w:t>
      </w:r>
      <w:r w:rsidR="00D27BF1">
        <w:t> </w:t>
      </w:r>
      <w:r w:rsidR="00720FCA">
        <w:fldChar w:fldCharType="begin"/>
      </w:r>
      <w:r w:rsidR="00720FCA">
        <w:instrText xml:space="preserve"> REF _Ref37058822 \n </w:instrText>
      </w:r>
      <w:r w:rsidR="00720FCA">
        <w:fldChar w:fldCharType="separate"/>
      </w:r>
      <w:r w:rsidR="00FF1B3A">
        <w:t>[26]</w:t>
      </w:r>
      <w:r w:rsidR="00720FCA">
        <w:fldChar w:fldCharType="end"/>
      </w:r>
      <w:r>
        <w:t xml:space="preserve">. In a two-class classification problem such as seizure detection, </w:t>
      </w:r>
      <w:r w:rsidR="00CA0ECB">
        <w:t>it is common to characterize performance in terms</w:t>
      </w:r>
      <w:r w:rsidR="00F6073C">
        <w:t xml:space="preserve"> </w:t>
      </w:r>
      <w:r w:rsidR="00CA0ECB">
        <w:t xml:space="preserve">of </w:t>
      </w:r>
      <w:r>
        <w:t xml:space="preserve">four </w:t>
      </w:r>
      <w:r w:rsidR="00CA0ECB">
        <w:t>based error measures:</w:t>
      </w:r>
    </w:p>
    <w:p w14:paraId="1CA3ADD6"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 xml:space="preserve">True Positives (TP): </w:t>
      </w:r>
      <w:r w:rsidRPr="004534C9">
        <w:rPr>
          <w:rFonts w:ascii="Times New Roman" w:hAnsi="Times New Roman" w:cs="Times New Roman"/>
          <w:sz w:val="18"/>
          <w:szCs w:val="18"/>
        </w:rPr>
        <w:tab/>
        <w:t>the number of ‘positives’ detected correctly</w:t>
      </w:r>
    </w:p>
    <w:p w14:paraId="4E50B5D2"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True Negatives (TN):</w:t>
      </w:r>
      <w:r w:rsidRPr="004534C9">
        <w:rPr>
          <w:rFonts w:ascii="Times New Roman" w:hAnsi="Times New Roman" w:cs="Times New Roman"/>
          <w:sz w:val="18"/>
          <w:szCs w:val="18"/>
        </w:rPr>
        <w:tab/>
        <w:t>the number of ‘negatives’ detected correctly</w:t>
      </w:r>
    </w:p>
    <w:p w14:paraId="095C1348"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False Positives (FP):</w:t>
      </w:r>
      <w:r w:rsidRPr="004534C9">
        <w:rPr>
          <w:rFonts w:ascii="Times New Roman" w:hAnsi="Times New Roman" w:cs="Times New Roman"/>
          <w:sz w:val="18"/>
          <w:szCs w:val="18"/>
        </w:rPr>
        <w:tab/>
        <w:t>the number of ‘negatives’ detected as ‘positives’</w:t>
      </w:r>
    </w:p>
    <w:p w14:paraId="2C5C6A67" w14:textId="77777777" w:rsidR="008A5A8B" w:rsidRPr="004534C9" w:rsidRDefault="008A5A8B" w:rsidP="001D532F">
      <w:pPr>
        <w:pStyle w:val="ListParagraph"/>
        <w:numPr>
          <w:ilvl w:val="0"/>
          <w:numId w:val="20"/>
        </w:numPr>
        <w:tabs>
          <w:tab w:val="left" w:pos="2160"/>
        </w:tabs>
        <w:spacing w:after="120"/>
        <w:ind w:left="450" w:hanging="270"/>
        <w:rPr>
          <w:sz w:val="18"/>
          <w:szCs w:val="18"/>
        </w:rPr>
      </w:pPr>
      <w:r w:rsidRPr="004534C9">
        <w:rPr>
          <w:rFonts w:ascii="Times New Roman" w:hAnsi="Times New Roman" w:cs="Times New Roman"/>
          <w:sz w:val="18"/>
          <w:szCs w:val="18"/>
        </w:rPr>
        <w:t>False Negatives (FN):</w:t>
      </w:r>
      <w:r w:rsidRPr="004534C9">
        <w:rPr>
          <w:rFonts w:ascii="Times New Roman" w:hAnsi="Times New Roman" w:cs="Times New Roman"/>
          <w:sz w:val="18"/>
          <w:szCs w:val="18"/>
        </w:rPr>
        <w:tab/>
        <w:t xml:space="preserve">the number of ‘positives’ detected as ‘negatives’ </w:t>
      </w:r>
    </w:p>
    <w:p w14:paraId="05926241" w14:textId="21A12CF6" w:rsidR="0032699F" w:rsidRDefault="0032699F" w:rsidP="004534C9">
      <w:pPr>
        <w:pStyle w:val="BodyText"/>
        <w:ind w:firstLine="0"/>
      </w:pPr>
      <w:r>
        <w:t xml:space="preserve">False positives, also known as </w:t>
      </w:r>
      <w:r w:rsidR="00BD65F1">
        <w:t>type I errors</w:t>
      </w:r>
      <w:r>
        <w:t xml:space="preserve">, play a very important role in sequential decoding applications since they tend to dominate performance considerations. Throughout this chapter, we will </w:t>
      </w:r>
      <w:r w:rsidR="000842F9">
        <w:t xml:space="preserve">quantify, or normalize, false positives by using </w:t>
      </w:r>
      <w:r>
        <w:t>the false alarm (FA) rate, which is simpl</w:t>
      </w:r>
      <w:r w:rsidR="003B7DE9">
        <w:t>y</w:t>
      </w:r>
      <w:r>
        <w:t xml:space="preserve"> the number of false positives divided by the total </w:t>
      </w:r>
      <w:r>
        <w:lastRenderedPageBreak/>
        <w:t xml:space="preserve">amount of data measured in units of time. We typically </w:t>
      </w:r>
      <w:r w:rsidR="003B7DE9">
        <w:t xml:space="preserve">compute </w:t>
      </w:r>
      <w:r>
        <w:t>FAs/</w:t>
      </w:r>
      <m:oMath>
        <m:r>
          <w:rPr>
            <w:rFonts w:ascii="Cambria Math" w:hAnsi="Cambria Math"/>
          </w:rPr>
          <m:t xml:space="preserve">24 </m:t>
        </m:r>
        <m:r>
          <w:rPr>
            <w:rFonts w:ascii="Cambria Math" w:hAnsi="Cambria Math"/>
          </w:rPr>
          <m:t>hrs</m:t>
        </m:r>
      </m:oMath>
      <w:r w:rsidR="002B5066">
        <w:t> </w:t>
      </w:r>
      <w:r>
        <w:t>– the number of false alarms per day. This is a useful figure of merit for critical care applications in healthcare.</w:t>
      </w:r>
    </w:p>
    <w:p w14:paraId="28C34F5D" w14:textId="6F7DB6E2" w:rsidR="00D27BF1" w:rsidRDefault="008A5A8B" w:rsidP="004534C9">
      <w:pPr>
        <w:pStyle w:val="BodyText"/>
        <w:ind w:firstLine="230"/>
      </w:pPr>
      <w:r>
        <w:t>There are a large number of</w:t>
      </w:r>
      <w:r w:rsidR="0050321B">
        <w:t xml:space="preserve"> measures derived from these four basic quantities </w:t>
      </w:r>
      <w:r w:rsidR="003B7DE9">
        <w:t xml:space="preserve">that are </w:t>
      </w:r>
      <w:r w:rsidR="0050321B">
        <w:t xml:space="preserve">appear </w:t>
      </w:r>
      <w:r w:rsidR="003B7DE9">
        <w:t xml:space="preserve">extensively in the </w:t>
      </w:r>
      <w:r w:rsidR="0050321B">
        <w:t xml:space="preserve">sequential decoding </w:t>
      </w:r>
      <w:r w:rsidR="003B7DE9">
        <w:t>literature</w:t>
      </w:r>
      <w:r w:rsidR="0050321B">
        <w:t xml:space="preserve">. </w:t>
      </w:r>
      <w:r>
        <w:t>These are summarized concisely in</w:t>
      </w:r>
      <w:r w:rsidR="00D27BF1">
        <w:t> </w:t>
      </w:r>
      <w:r w:rsidR="00720FCA">
        <w:fldChar w:fldCharType="begin"/>
      </w:r>
      <w:r w:rsidR="00720FCA">
        <w:instrText xml:space="preserve"> REF _Ref37113564 \n </w:instrText>
      </w:r>
      <w:r w:rsidR="00720FCA">
        <w:fldChar w:fldCharType="separate"/>
      </w:r>
      <w:r w:rsidR="00FF1B3A">
        <w:t>[27]</w:t>
      </w:r>
      <w:r w:rsidR="00720FCA">
        <w:fldChar w:fldCharType="end"/>
      </w:r>
      <w:r>
        <w:t>. For example, in information retrieval applications, systems are often evaluated using</w:t>
      </w:r>
      <w:r w:rsidR="00D27BF1">
        <w:t>:</w:t>
      </w:r>
    </w:p>
    <w:p w14:paraId="498DCE23" w14:textId="5627A023" w:rsidR="00140E8F" w:rsidRDefault="00140E8F" w:rsidP="00642970">
      <w:pPr>
        <w:pStyle w:val="Equation"/>
        <w:tabs>
          <w:tab w:val="right" w:pos="6918"/>
        </w:tabs>
        <w:spacing w:after="60"/>
        <w:ind w:left="187"/>
        <w:rPr>
          <w:rFonts w:eastAsiaTheme="minorHAnsi"/>
          <w:sz w:val="20"/>
          <w:szCs w:val="20"/>
        </w:rPr>
      </w:pPr>
      <w:bookmarkStart w:id="2" w:name="_Ref37169759"/>
      <w:bookmarkStart w:id="3" w:name="_Ref37170790"/>
      <m:oMath>
        <m:r>
          <w:rPr>
            <w:rFonts w:ascii="Cambria Math" w:hAnsi="Cambria Math"/>
            <w:sz w:val="18"/>
            <w:szCs w:val="18"/>
          </w:rPr>
          <m:t>Sensitivity</m:t>
        </m:r>
        <m:r>
          <m:rPr>
            <m:sty m:val="p"/>
          </m:rPr>
          <w:rPr>
            <w:rFonts w:ascii="Cambria Math" w:hAnsi="Cambria Math"/>
            <w:sz w:val="18"/>
            <w:szCs w:val="18"/>
          </w:rPr>
          <m:t xml:space="preserve"> (</m:t>
        </m:r>
        <m:r>
          <w:rPr>
            <w:rFonts w:ascii="Cambria Math" w:hAnsi="Cambria Math"/>
            <w:sz w:val="18"/>
            <w:szCs w:val="18"/>
          </w:rPr>
          <m:t>Recall</m:t>
        </m:r>
        <m:r>
          <m:rPr>
            <m:sty m:val="p"/>
          </m:rPr>
          <w:rPr>
            <w:rFonts w:ascii="Cambria Math" w:hAnsi="Cambria Math"/>
            <w:sz w:val="18"/>
            <w:szCs w:val="18"/>
          </w:rPr>
          <m:t xml:space="preserve">)= </m:t>
        </m:r>
        <m:d>
          <m:dPr>
            <m:ctrlPr>
              <w:rPr>
                <w:rFonts w:ascii="Cambria Math" w:hAnsi="Cambria Math"/>
                <w:sz w:val="18"/>
                <w:szCs w:val="18"/>
              </w:rPr>
            </m:ctrlPr>
          </m:dPr>
          <m:e>
            <m:f>
              <m:fPr>
                <m:type m:val="lin"/>
                <m:ctrlPr>
                  <w:rPr>
                    <w:rFonts w:ascii="Cambria Math" w:hAnsi="Cambria Math"/>
                    <w:sz w:val="18"/>
                    <w:szCs w:val="18"/>
                  </w:rPr>
                </m:ctrlPr>
              </m:fPr>
              <m:num>
                <m:r>
                  <w:rPr>
                    <w:rFonts w:ascii="Cambria Math" w:hAnsi="Cambria Math"/>
                    <w:sz w:val="18"/>
                    <w:szCs w:val="18"/>
                  </w:rPr>
                  <m:t>TP</m:t>
                </m:r>
              </m:num>
              <m:den>
                <m:d>
                  <m:dPr>
                    <m:ctrlPr>
                      <w:rPr>
                        <w:rFonts w:ascii="Cambria Math" w:hAnsi="Cambria Math"/>
                        <w:sz w:val="18"/>
                        <w:szCs w:val="18"/>
                      </w:rPr>
                    </m:ctrlPr>
                  </m:dPr>
                  <m:e>
                    <m:r>
                      <w:rPr>
                        <w:rFonts w:ascii="Cambria Math" w:hAnsi="Cambria Math"/>
                        <w:sz w:val="18"/>
                        <w:szCs w:val="18"/>
                      </w:rPr>
                      <m:t>TP</m:t>
                    </m:r>
                    <m:r>
                      <m:rPr>
                        <m:sty m:val="p"/>
                      </m:rPr>
                      <w:rPr>
                        <w:rFonts w:ascii="Cambria Math" w:hAnsi="Cambria Math"/>
                        <w:sz w:val="18"/>
                        <w:szCs w:val="18"/>
                      </w:rPr>
                      <m:t>+</m:t>
                    </m:r>
                    <m:r>
                      <w:rPr>
                        <w:rFonts w:ascii="Cambria Math" w:hAnsi="Cambria Math"/>
                        <w:sz w:val="18"/>
                        <w:szCs w:val="18"/>
                      </w:rPr>
                      <m:t>FN</m:t>
                    </m:r>
                  </m:e>
                </m:d>
              </m:den>
            </m:f>
          </m:e>
        </m:d>
      </m:oMath>
      <w:bookmarkEnd w:id="2"/>
      <w:r w:rsidR="0050321B">
        <w:rPr>
          <w:rFonts w:eastAsiaTheme="minorEastAsia"/>
          <w:sz w:val="18"/>
          <w:szCs w:val="18"/>
        </w:rPr>
        <w:t> ,</w:t>
      </w:r>
      <w:r w:rsidR="00723ACA" w:rsidRPr="00D879B5">
        <w:rPr>
          <w:rFonts w:eastAsiaTheme="minorEastAsia"/>
          <w:sz w:val="18"/>
          <w:szCs w:val="18"/>
        </w:rPr>
        <w:tab/>
      </w:r>
      <w:bookmarkStart w:id="4" w:name="equation_sensitivity"/>
      <w:r w:rsidR="00723ACA" w:rsidRPr="00D879B5">
        <w:rPr>
          <w:rFonts w:eastAsiaTheme="minorEastAsia"/>
          <w:sz w:val="18"/>
          <w:szCs w:val="18"/>
        </w:rPr>
        <w:t>(</w:t>
      </w:r>
      <w:r w:rsidR="00D879B5" w:rsidRPr="00D879B5">
        <w:rPr>
          <w:rFonts w:eastAsiaTheme="minorEastAsia"/>
          <w:sz w:val="18"/>
          <w:szCs w:val="18"/>
        </w:rPr>
        <w:fldChar w:fldCharType="begin"/>
      </w:r>
      <w:r w:rsidR="00D879B5" w:rsidRPr="00D879B5">
        <w:rPr>
          <w:rFonts w:eastAsiaTheme="minorEastAsia"/>
          <w:sz w:val="18"/>
          <w:szCs w:val="18"/>
        </w:rPr>
        <w:instrText xml:space="preserve"> SEQ Equation \* ARABIC </w:instrText>
      </w:r>
      <w:r w:rsidR="00D879B5" w:rsidRPr="00D879B5">
        <w:rPr>
          <w:rFonts w:eastAsiaTheme="minorEastAsia"/>
          <w:sz w:val="18"/>
          <w:szCs w:val="18"/>
        </w:rPr>
        <w:fldChar w:fldCharType="separate"/>
      </w:r>
      <w:r w:rsidR="00FF1B3A">
        <w:rPr>
          <w:rFonts w:eastAsiaTheme="minorEastAsia"/>
          <w:noProof/>
          <w:sz w:val="18"/>
          <w:szCs w:val="18"/>
        </w:rPr>
        <w:t>1</w:t>
      </w:r>
      <w:r w:rsidR="00D879B5" w:rsidRPr="00D879B5">
        <w:rPr>
          <w:rFonts w:eastAsiaTheme="minorEastAsia"/>
          <w:sz w:val="18"/>
          <w:szCs w:val="18"/>
        </w:rPr>
        <w:fldChar w:fldCharType="end"/>
      </w:r>
      <w:r w:rsidR="00723ACA" w:rsidRPr="00D879B5">
        <w:rPr>
          <w:rFonts w:eastAsiaTheme="minorEastAsia"/>
          <w:sz w:val="18"/>
          <w:szCs w:val="18"/>
        </w:rPr>
        <w:t>)</w:t>
      </w:r>
      <w:bookmarkEnd w:id="3"/>
      <w:bookmarkEnd w:id="4"/>
    </w:p>
    <w:p w14:paraId="0F711715" w14:textId="578EE870" w:rsidR="00140E8F" w:rsidRPr="00D879B5" w:rsidRDefault="008A5A8B"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0050321B" w:rsidRPr="00E91D8D">
        <w:rPr>
          <w:rFonts w:ascii="Cambria Math" w:hAnsi="Cambria Math"/>
          <w:sz w:val="18"/>
          <w:szCs w:val="18"/>
        </w:rPr>
        <w:t> ,</w:t>
      </w:r>
      <w:r w:rsidR="00140E8F" w:rsidRPr="00D879B5">
        <w:rPr>
          <w:rFonts w:ascii="Cambria Math" w:hAnsi="Cambria Math"/>
          <w:i/>
          <w:iCs/>
          <w:sz w:val="18"/>
          <w:szCs w:val="18"/>
        </w:rPr>
        <w:t> </w:t>
      </w:r>
      <w:r w:rsidR="00140E8F" w:rsidRPr="00D879B5">
        <w:rPr>
          <w:rFonts w:ascii="Cambria Math" w:hAnsi="Cambria Math"/>
          <w:i/>
          <w:iCs/>
          <w:sz w:val="18"/>
          <w:szCs w:val="18"/>
        </w:rPr>
        <w:tab/>
      </w:r>
      <w:r w:rsidR="00140E8F" w:rsidRPr="00D879B5">
        <w:rPr>
          <w:rFonts w:eastAsiaTheme="minorEastAsia"/>
          <w:sz w:val="18"/>
          <w:szCs w:val="18"/>
        </w:rPr>
        <w:t>(</w:t>
      </w:r>
      <w:r w:rsidR="00140E8F" w:rsidRPr="00D879B5">
        <w:rPr>
          <w:rFonts w:eastAsiaTheme="minorEastAsia"/>
          <w:sz w:val="18"/>
          <w:szCs w:val="18"/>
        </w:rPr>
        <w:fldChar w:fldCharType="begin"/>
      </w:r>
      <w:r w:rsidR="00140E8F" w:rsidRPr="00D879B5">
        <w:rPr>
          <w:rFonts w:eastAsiaTheme="minorEastAsia"/>
          <w:sz w:val="18"/>
          <w:szCs w:val="18"/>
        </w:rPr>
        <w:instrText xml:space="preserve"> SEQ Equation \* ARABIC </w:instrText>
      </w:r>
      <w:r w:rsidR="00140E8F" w:rsidRPr="00D879B5">
        <w:rPr>
          <w:rFonts w:eastAsiaTheme="minorEastAsia"/>
          <w:sz w:val="18"/>
          <w:szCs w:val="18"/>
        </w:rPr>
        <w:fldChar w:fldCharType="separate"/>
      </w:r>
      <w:r w:rsidR="00FF1B3A">
        <w:rPr>
          <w:rFonts w:eastAsiaTheme="minorEastAsia"/>
          <w:noProof/>
          <w:sz w:val="18"/>
          <w:szCs w:val="18"/>
        </w:rPr>
        <w:t>2</w:t>
      </w:r>
      <w:r w:rsidR="00140E8F" w:rsidRPr="00D879B5">
        <w:rPr>
          <w:rFonts w:eastAsiaTheme="minorEastAsia"/>
          <w:sz w:val="18"/>
          <w:szCs w:val="18"/>
        </w:rPr>
        <w:fldChar w:fldCharType="end"/>
      </w:r>
      <w:r w:rsidR="00140E8F" w:rsidRPr="00D879B5">
        <w:rPr>
          <w:rFonts w:eastAsiaTheme="minorEastAsia"/>
          <w:sz w:val="18"/>
          <w:szCs w:val="18"/>
        </w:rPr>
        <w:t>)</w:t>
      </w:r>
    </w:p>
    <w:p w14:paraId="11D73596" w14:textId="2D351E23" w:rsidR="00140E8F" w:rsidRPr="00D879B5" w:rsidRDefault="00140E8F"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0050321B" w:rsidRPr="00E91D8D">
        <w:rPr>
          <w:rFonts w:ascii="Cambria Math" w:hAnsi="Cambria Math"/>
          <w:sz w:val="18"/>
          <w:szCs w:val="18"/>
        </w:rPr>
        <w:t> ,</w:t>
      </w:r>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3</w:t>
      </w:r>
      <w:r w:rsidRPr="00D879B5">
        <w:rPr>
          <w:rFonts w:eastAsiaTheme="minorEastAsia"/>
          <w:sz w:val="18"/>
          <w:szCs w:val="18"/>
        </w:rPr>
        <w:fldChar w:fldCharType="end"/>
      </w:r>
      <w:r w:rsidRPr="00D879B5">
        <w:rPr>
          <w:rFonts w:eastAsiaTheme="minorEastAsia"/>
          <w:sz w:val="18"/>
          <w:szCs w:val="18"/>
        </w:rPr>
        <w:t>)</w:t>
      </w:r>
    </w:p>
    <w:p w14:paraId="082F7305" w14:textId="1C4C7A77" w:rsidR="00140E8F" w:rsidRDefault="00140E8F" w:rsidP="00D879B5">
      <w:pPr>
        <w:pStyle w:val="Equation"/>
        <w:tabs>
          <w:tab w:val="right" w:pos="6918"/>
        </w:tabs>
        <w:spacing w:after="60"/>
        <w:ind w:left="187"/>
        <w:rPr>
          <w:rFonts w:eastAsiaTheme="minorEastAsia"/>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0050321B" w:rsidRPr="00E91D8D">
        <w:rPr>
          <w:rFonts w:ascii="Cambria Math" w:hAnsi="Cambria Math"/>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4</w:t>
      </w:r>
      <w:r w:rsidRPr="00D879B5">
        <w:rPr>
          <w:rFonts w:eastAsiaTheme="minorEastAsia"/>
          <w:sz w:val="18"/>
          <w:szCs w:val="18"/>
        </w:rPr>
        <w:fldChar w:fldCharType="end"/>
      </w:r>
      <w:r w:rsidRPr="00D879B5">
        <w:rPr>
          <w:rFonts w:eastAsiaTheme="minorEastAsia"/>
          <w:sz w:val="18"/>
          <w:szCs w:val="18"/>
        </w:rPr>
        <w:t>)</w:t>
      </w:r>
    </w:p>
    <w:p w14:paraId="7462BC23" w14:textId="64B343F0" w:rsidR="00D879B5" w:rsidRPr="004534C9" w:rsidRDefault="00D879B5" w:rsidP="004534C9">
      <w:pPr>
        <w:pStyle w:val="BodyText"/>
        <w:ind w:firstLine="0"/>
      </w:pPr>
      <w:r>
        <w:t xml:space="preserve">More recently, integrated measures such as the F1 score and the Matthews correlation coefficient (MCC) </w:t>
      </w:r>
      <w:r w:rsidR="00720FCA">
        <w:fldChar w:fldCharType="begin"/>
      </w:r>
      <w:r w:rsidR="00720FCA">
        <w:instrText xml:space="preserve"> REF _Ref37166924 \n  \* MERGEFORMAT </w:instrText>
      </w:r>
      <w:r w:rsidR="00720FCA">
        <w:fldChar w:fldCharType="separate"/>
      </w:r>
      <w:r w:rsidR="00FF1B3A">
        <w:t>[28]</w:t>
      </w:r>
      <w:r w:rsidR="00720FCA">
        <w:fldChar w:fldCharType="end"/>
      </w:r>
      <w:r w:rsidRPr="00D879B5">
        <w:t xml:space="preserve"> </w:t>
      </w:r>
      <w:r>
        <w:t>have become popular for tasks ranging from information retrieval to binary classification:</w:t>
      </w:r>
    </w:p>
    <w:p w14:paraId="1F5C3649" w14:textId="3D02E8A5" w:rsidR="00140E8F" w:rsidRDefault="00140E8F" w:rsidP="004534C9">
      <w:pPr>
        <w:pStyle w:val="Equation"/>
        <w:tabs>
          <w:tab w:val="right" w:pos="6918"/>
        </w:tabs>
        <w:spacing w:after="60"/>
        <w:ind w:left="187"/>
        <w:rPr>
          <w:rFonts w:eastAsiaTheme="minorEastAsia"/>
          <w:sz w:val="18"/>
          <w:szCs w:val="18"/>
        </w:rPr>
      </w:pPr>
      <w:bookmarkStart w:id="5" w:name="_Ref37170781"/>
      <m:oMath>
        <m:r>
          <w:rPr>
            <w:rFonts w:ascii="Cambria Math" w:hAnsi="Cambria Math"/>
            <w:sz w:val="18"/>
            <w:szCs w:val="18"/>
          </w:rPr>
          <m:t xml:space="preserve">F1=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2×Precision×Recall</m:t>
                    </m:r>
                  </m:e>
                </m:d>
              </m:num>
              <m:den>
                <m:d>
                  <m:dPr>
                    <m:ctrlPr>
                      <w:rPr>
                        <w:rFonts w:ascii="Cambria Math" w:hAnsi="Cambria Math"/>
                        <w:i/>
                        <w:iCs/>
                        <w:sz w:val="18"/>
                        <w:szCs w:val="18"/>
                      </w:rPr>
                    </m:ctrlPr>
                  </m:dPr>
                  <m:e>
                    <m:r>
                      <w:rPr>
                        <w:rFonts w:ascii="Cambria Math" w:hAnsi="Cambria Math"/>
                        <w:sz w:val="18"/>
                        <w:szCs w:val="18"/>
                      </w:rPr>
                      <m:t>Precision+Recall</m:t>
                    </m:r>
                  </m:e>
                </m:d>
              </m:den>
            </m:f>
          </m:e>
        </m:d>
      </m:oMath>
      <w:r w:rsidR="001C660F">
        <w:rPr>
          <w:rFonts w:ascii="Cambria Math" w:hAnsi="Cambria Math"/>
          <w:sz w:val="18"/>
          <w:szCs w:val="18"/>
        </w:rPr>
        <w:t> ,</w:t>
      </w:r>
      <w:r w:rsidRPr="00D879B5">
        <w:rPr>
          <w:rFonts w:ascii="Cambria Math" w:hAnsi="Cambria Math"/>
          <w:i/>
          <w:iCs/>
          <w:sz w:val="18"/>
          <w:szCs w:val="18"/>
        </w:rPr>
        <w:tab/>
      </w:r>
      <w:bookmarkStart w:id="6" w:name="equation_f1"/>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5</w:t>
      </w:r>
      <w:r w:rsidRPr="00D879B5">
        <w:rPr>
          <w:rFonts w:eastAsiaTheme="minorEastAsia"/>
          <w:sz w:val="18"/>
          <w:szCs w:val="18"/>
        </w:rPr>
        <w:fldChar w:fldCharType="end"/>
      </w:r>
      <w:r w:rsidRPr="00D879B5">
        <w:rPr>
          <w:rFonts w:eastAsiaTheme="minorEastAsia"/>
          <w:sz w:val="18"/>
          <w:szCs w:val="18"/>
        </w:rPr>
        <w:t>)</w:t>
      </w:r>
      <w:bookmarkEnd w:id="5"/>
      <w:bookmarkEnd w:id="6"/>
    </w:p>
    <w:p w14:paraId="5B803237" w14:textId="06FE4EFC" w:rsidR="00BB059A" w:rsidRPr="004534C9" w:rsidRDefault="00BB059A" w:rsidP="004534C9">
      <w:pPr>
        <w:pStyle w:val="Equation"/>
        <w:tabs>
          <w:tab w:val="right" w:pos="6918"/>
        </w:tabs>
        <w:ind w:left="180"/>
        <w:rPr>
          <w:rFonts w:ascii="Cambria Math" w:hAnsi="Cambria Math"/>
          <w:i/>
          <w:iCs/>
          <w:sz w:val="18"/>
          <w:szCs w:val="18"/>
        </w:rPr>
      </w:pPr>
      <m:oMath>
        <m:r>
          <w:rPr>
            <w:rFonts w:ascii="Cambria Math" w:hAnsi="Cambria Math"/>
            <w:sz w:val="18"/>
            <w:szCs w:val="18"/>
          </w:rPr>
          <m:t>MCC=</m:t>
        </m:r>
        <m:f>
          <m:fPr>
            <m:type m:val="lin"/>
            <m:ctrlPr>
              <w:rPr>
                <w:rFonts w:ascii="Cambria Math" w:hAnsi="Cambria Math"/>
                <w:i/>
                <w:iCs/>
                <w:sz w:val="18"/>
                <w:szCs w:val="18"/>
              </w:rPr>
            </m:ctrlPr>
          </m:fPr>
          <m:num>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TP×TN</m:t>
                    </m:r>
                  </m:e>
                </m:d>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FP×FN</m:t>
                    </m:r>
                  </m:e>
                </m:d>
              </m:e>
            </m:d>
          </m:num>
          <m:den>
            <m:rad>
              <m:radPr>
                <m:degHide m:val="1"/>
                <m:ctrlPr>
                  <w:rPr>
                    <w:rFonts w:ascii="Cambria Math" w:hAnsi="Cambria Math"/>
                    <w:i/>
                    <w:iCs/>
                    <w:sz w:val="18"/>
                    <w:szCs w:val="18"/>
                  </w:rPr>
                </m:ctrlPr>
              </m:radPr>
              <m:deg/>
              <m:e>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TP+FP</m:t>
                        </m:r>
                      </m:e>
                    </m:d>
                    <m:d>
                      <m:dPr>
                        <m:ctrlPr>
                          <w:rPr>
                            <w:rFonts w:ascii="Cambria Math" w:hAnsi="Cambria Math"/>
                            <w:i/>
                            <w:iCs/>
                            <w:sz w:val="18"/>
                            <w:szCs w:val="18"/>
                          </w:rPr>
                        </m:ctrlPr>
                      </m:dPr>
                      <m:e>
                        <m:r>
                          <w:rPr>
                            <w:rFonts w:ascii="Cambria Math" w:hAnsi="Cambria Math"/>
                            <w:sz w:val="18"/>
                            <w:szCs w:val="18"/>
                          </w:rPr>
                          <m:t>TP+FN</m:t>
                        </m:r>
                      </m:e>
                    </m:d>
                    <m:d>
                      <m:dPr>
                        <m:ctrlPr>
                          <w:rPr>
                            <w:rFonts w:ascii="Cambria Math" w:hAnsi="Cambria Math"/>
                            <w:i/>
                            <w:iCs/>
                            <w:sz w:val="18"/>
                            <w:szCs w:val="18"/>
                          </w:rPr>
                        </m:ctrlPr>
                      </m:dPr>
                      <m:e>
                        <m:r>
                          <w:rPr>
                            <w:rFonts w:ascii="Cambria Math" w:hAnsi="Cambria Math"/>
                            <w:sz w:val="18"/>
                            <w:szCs w:val="18"/>
                          </w:rPr>
                          <m:t>TN+FP</m:t>
                        </m:r>
                      </m:e>
                    </m:d>
                    <m:d>
                      <m:dPr>
                        <m:ctrlPr>
                          <w:rPr>
                            <w:rFonts w:ascii="Cambria Math" w:hAnsi="Cambria Math"/>
                            <w:i/>
                            <w:iCs/>
                            <w:sz w:val="18"/>
                            <w:szCs w:val="18"/>
                          </w:rPr>
                        </m:ctrlPr>
                      </m:dPr>
                      <m:e>
                        <m:r>
                          <w:rPr>
                            <w:rFonts w:ascii="Cambria Math" w:hAnsi="Cambria Math"/>
                            <w:sz w:val="18"/>
                            <w:szCs w:val="18"/>
                          </w:rPr>
                          <m:t>TN+FN</m:t>
                        </m:r>
                      </m:e>
                    </m:d>
                  </m:e>
                </m:d>
              </m:e>
            </m:rad>
          </m:den>
        </m:f>
      </m:oMath>
      <w:r w:rsidR="001C660F">
        <w:rPr>
          <w:rFonts w:ascii="Cambria Math" w:hAnsi="Cambria Math"/>
          <w:sz w:val="18"/>
          <w:szCs w:val="18"/>
        </w:rPr>
        <w:t> .</w:t>
      </w:r>
      <w:r w:rsidR="00D879B5" w:rsidRPr="004534C9">
        <w:rPr>
          <w:rFonts w:ascii="Cambria Math" w:hAnsi="Cambria Math"/>
          <w:i/>
          <w:iCs/>
          <w:sz w:val="18"/>
          <w:szCs w:val="18"/>
        </w:rPr>
        <w:tab/>
      </w:r>
      <w:bookmarkStart w:id="7" w:name="equation_mcc"/>
      <w:r w:rsidR="00D879B5" w:rsidRPr="004534C9">
        <w:rPr>
          <w:sz w:val="18"/>
          <w:szCs w:val="18"/>
        </w:rPr>
        <w:t>(</w:t>
      </w:r>
      <w:r w:rsidR="00D879B5" w:rsidRPr="004534C9">
        <w:rPr>
          <w:sz w:val="18"/>
          <w:szCs w:val="18"/>
        </w:rPr>
        <w:fldChar w:fldCharType="begin"/>
      </w:r>
      <w:r w:rsidR="00D879B5" w:rsidRPr="004534C9">
        <w:rPr>
          <w:sz w:val="18"/>
          <w:szCs w:val="18"/>
        </w:rPr>
        <w:instrText xml:space="preserve"> SEQ Equation \* ARABIC </w:instrText>
      </w:r>
      <w:r w:rsidR="00D879B5" w:rsidRPr="004534C9">
        <w:rPr>
          <w:sz w:val="18"/>
          <w:szCs w:val="18"/>
        </w:rPr>
        <w:fldChar w:fldCharType="separate"/>
      </w:r>
      <w:r w:rsidR="00FF1B3A">
        <w:rPr>
          <w:noProof/>
          <w:sz w:val="18"/>
          <w:szCs w:val="18"/>
        </w:rPr>
        <w:t>6</w:t>
      </w:r>
      <w:r w:rsidR="00D879B5" w:rsidRPr="004534C9">
        <w:rPr>
          <w:sz w:val="18"/>
          <w:szCs w:val="18"/>
        </w:rPr>
        <w:fldChar w:fldCharType="end"/>
      </w:r>
      <w:r w:rsidR="00D879B5" w:rsidRPr="004534C9">
        <w:rPr>
          <w:sz w:val="18"/>
          <w:szCs w:val="18"/>
        </w:rPr>
        <w:t>)</w:t>
      </w:r>
      <w:bookmarkEnd w:id="7"/>
    </w:p>
    <w:p w14:paraId="1F4BC6EB" w14:textId="6BB5552C" w:rsidR="001C660F" w:rsidRDefault="00FE0538" w:rsidP="004534C9">
      <w:pPr>
        <w:pStyle w:val="BodyText"/>
        <w:ind w:firstLine="0"/>
      </w:pPr>
      <w:r>
        <w:t>In the field of machine translation, the bilingual evaluation understudy (BLEU) metric</w:t>
      </w:r>
      <w:r w:rsidR="00DF077A">
        <w:t>, which measures the similar</w:t>
      </w:r>
      <w:r w:rsidR="00707750">
        <w:t xml:space="preserve">ity between </w:t>
      </w:r>
      <w:r w:rsidR="00DF077A">
        <w:t xml:space="preserve">two </w:t>
      </w:r>
      <w:r w:rsidR="00707750">
        <w:t xml:space="preserve">strings of text, </w:t>
      </w:r>
      <w:r>
        <w:t xml:space="preserve">was one of the first objective evaluation metrics to claim a high correlation with </w:t>
      </w:r>
      <w:r w:rsidR="00DF077A">
        <w:t>human judgements of quality </w:t>
      </w:r>
      <w:r w:rsidR="00720FCA">
        <w:fldChar w:fldCharType="begin"/>
      </w:r>
      <w:r w:rsidR="00720FCA">
        <w:instrText xml:space="preserve"> REF _Ref37172768 \n </w:instrText>
      </w:r>
      <w:r w:rsidR="00720FCA">
        <w:fldChar w:fldCharType="separate"/>
      </w:r>
      <w:r w:rsidR="00FF1B3A">
        <w:t>[29]</w:t>
      </w:r>
      <w:r w:rsidR="00720FCA">
        <w:fldChar w:fldCharType="end"/>
      </w:r>
      <w:r w:rsidR="00DF077A">
        <w:t>.</w:t>
      </w:r>
    </w:p>
    <w:p w14:paraId="706AC290" w14:textId="0403FAAF" w:rsidR="008A5A8B" w:rsidRDefault="008A5A8B" w:rsidP="00E91D8D">
      <w:pPr>
        <w:pStyle w:val="BodyText"/>
        <w:widowControl w:val="0"/>
        <w:ind w:firstLine="230"/>
      </w:pPr>
      <w:r>
        <w:t>However, none of these measures address the time scale o</w:t>
      </w:r>
      <w:r w:rsidR="00C12218">
        <w:t xml:space="preserve">ver </w:t>
      </w:r>
      <w:r>
        <w:t>which the scoring must occur, which is critical in the interpretation of these measures for many real-time bioengineering applications</w:t>
      </w:r>
      <w:r w:rsidR="0050321B">
        <w:t xml:space="preserve">. When </w:t>
      </w:r>
      <w:r w:rsidR="0074131A">
        <w:t xml:space="preserve">the time alignment of the reference event and the hypothesized event </w:t>
      </w:r>
      <w:r w:rsidR="0050321B">
        <w:t xml:space="preserve">is </w:t>
      </w:r>
      <w:r w:rsidR="0074131A">
        <w:t>important, and spurious hypotheses play a critical role in overall system performance</w:t>
      </w:r>
      <w:r w:rsidR="0050321B">
        <w:t>, evaluation metrics must take into account the accuracy of the start time and end time of these detected events. We refer to this as the temporal localization problem</w:t>
      </w:r>
      <w:r>
        <w:t>.</w:t>
      </w:r>
      <w:r w:rsidR="00AD18B3">
        <w:t xml:space="preserve"> </w:t>
      </w:r>
      <w:r w:rsidR="0050321B">
        <w:t>Accurate temporal l</w:t>
      </w:r>
      <w:r w:rsidR="00AD18B3">
        <w:t xml:space="preserve">ocalization </w:t>
      </w:r>
      <w:r w:rsidR="0074131A">
        <w:t xml:space="preserve">is </w:t>
      </w:r>
      <w:r w:rsidR="0050321B">
        <w:t xml:space="preserve">critical if sequential decoding technology is to be successfully applied </w:t>
      </w:r>
      <w:r w:rsidR="0074131A">
        <w:t>in clinical settings</w:t>
      </w:r>
      <w:r w:rsidR="00AD18B3">
        <w:t xml:space="preserve">. </w:t>
      </w:r>
    </w:p>
    <w:p w14:paraId="107D64F4" w14:textId="4E88836E" w:rsidR="00795AEF" w:rsidRDefault="008A5A8B" w:rsidP="00C12218">
      <w:pPr>
        <w:pStyle w:val="BodyText"/>
        <w:widowControl w:val="0"/>
        <w:ind w:firstLine="230"/>
      </w:pPr>
      <w:r>
        <w:t xml:space="preserve">In some applications, it is preferable to score every unit of time. With multichannel signals, such as EEGs, scoring for each channel for each unit of time </w:t>
      </w:r>
      <w:r w:rsidR="00795AEF">
        <w:t xml:space="preserve">is </w:t>
      </w:r>
      <w:r>
        <w:t xml:space="preserve">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w:t>
      </w:r>
      <w:r w:rsidRPr="00E91D8D">
        <w:rPr>
          <w:i/>
          <w:iCs/>
        </w:rPr>
        <w:t>epoch-based</w:t>
      </w:r>
      <w:r w:rsidR="00795AEF">
        <w:t> </w:t>
      </w:r>
      <w:r w:rsidR="00720FCA">
        <w:fldChar w:fldCharType="begin"/>
      </w:r>
      <w:r w:rsidR="00720FCA">
        <w:instrText xml:space="preserve"> REF _Ref37114543 \n </w:instrText>
      </w:r>
      <w:r w:rsidR="00720FCA">
        <w:fldChar w:fldCharType="separate"/>
      </w:r>
      <w:r w:rsidR="00FF1B3A">
        <w:t>[30]</w:t>
      </w:r>
      <w:r w:rsidR="00720FCA">
        <w:fldChar w:fldCharType="end"/>
      </w:r>
      <w:r w:rsidR="00720FCA">
        <w:fldChar w:fldCharType="begin"/>
      </w:r>
      <w:r w:rsidR="00720FCA">
        <w:instrText xml:space="preserve"> REF _Ref37114550 \n </w:instrText>
      </w:r>
      <w:r w:rsidR="00720FCA">
        <w:fldChar w:fldCharType="separate"/>
      </w:r>
      <w:r w:rsidR="00FF1B3A">
        <w:t>[31]</w:t>
      </w:r>
      <w:r w:rsidR="00720FCA">
        <w:fldChar w:fldCharType="end"/>
      </w:r>
      <w:r>
        <w:t>.</w:t>
      </w:r>
    </w:p>
    <w:p w14:paraId="4AB703A6" w14:textId="2B59AEA6" w:rsidR="008A5A8B" w:rsidRDefault="008A5A8B" w:rsidP="005611CC">
      <w:pPr>
        <w:pStyle w:val="BodyText"/>
      </w:pPr>
      <w:r>
        <w:t xml:space="preserve">An alternative, that is more common in speech and image recognition applications, is </w:t>
      </w:r>
      <w:r w:rsidRPr="00E91D8D">
        <w:rPr>
          <w:i/>
          <w:iCs/>
        </w:rPr>
        <w:t>term-based</w:t>
      </w:r>
      <w:r w:rsidR="00B92AFB">
        <w:t> </w:t>
      </w:r>
      <w:r w:rsidR="00720FCA">
        <w:fldChar w:fldCharType="begin"/>
      </w:r>
      <w:r w:rsidR="00720FCA">
        <w:instrText xml:space="preserve"> REF _Ref37179880 \n </w:instrText>
      </w:r>
      <w:r w:rsidR="00720FCA">
        <w:fldChar w:fldCharType="separate"/>
      </w:r>
      <w:r w:rsidR="00FF1B3A">
        <w:t>[23]</w:t>
      </w:r>
      <w:r w:rsidR="00720FCA">
        <w:fldChar w:fldCharType="end"/>
      </w:r>
      <w:r w:rsidR="00720FCA">
        <w:fldChar w:fldCharType="begin"/>
      </w:r>
      <w:r w:rsidR="00720FCA">
        <w:instrText xml:space="preserve"> REF _Ref37114595 \n </w:instrText>
      </w:r>
      <w:r w:rsidR="00720FCA">
        <w:fldChar w:fldCharType="separate"/>
      </w:r>
      <w:r w:rsidR="00FF1B3A">
        <w:t>[32]</w:t>
      </w:r>
      <w:r w:rsidR="00720FCA">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6A13E286" w14:textId="323E2E8E" w:rsidR="008A5A8B" w:rsidRDefault="008A5A8B" w:rsidP="005611CC">
      <w:pPr>
        <w:pStyle w:val="BodyText"/>
      </w:pPr>
      <w:r>
        <w:lastRenderedPageBreak/>
        <w:t xml:space="preserve">Time-aligned scoring is essential to </w:t>
      </w:r>
      <w:r w:rsidR="0054765F">
        <w:t xml:space="preserve">the evaluation of </w:t>
      </w:r>
      <w:r>
        <w:t xml:space="preserve">sequential decoding </w:t>
      </w:r>
      <w:r w:rsidR="0054765F">
        <w:t>systems</w:t>
      </w:r>
      <w:r>
        <w:t xml:space="preserve">. But to implement such scoring in a meaningful way, there needs to be universal agreement on how to assess overlap between the reference and the hypothesis. For example, </w:t>
      </w:r>
      <w:fldSimple w:instr=" REF _Ref52220832  \* MERGEFORMAT ">
        <w:r w:rsidR="00FF1B3A" w:rsidRPr="00E91D8D">
          <w:t>Figure 1</w:t>
        </w:r>
      </w:fldSimple>
      <w:r>
        <w:t xml:space="preserve"> demonstrates a typical issue in scoring. The machine learning system correctly detected </w:t>
      </w:r>
      <m:oMath>
        <m:r>
          <w:rPr>
            <w:rFonts w:ascii="Cambria Math" w:hAnsi="Cambria Math"/>
          </w:rPr>
          <m:t>5</m:t>
        </m:r>
      </m:oMath>
      <w:r>
        <w:t xml:space="preserve"> seconds of a</w:t>
      </w:r>
      <w:r w:rsidR="00096DE1">
        <w:t xml:space="preserve">n event </w:t>
      </w:r>
      <m:oMath>
        <m:r>
          <w:rPr>
            <w:rFonts w:ascii="Cambria Math" w:hAnsi="Cambria Math"/>
          </w:rPr>
          <m:t>10</m:t>
        </m:r>
      </m:oMath>
      <w:r w:rsidR="00096DE1">
        <w:t> seconds in duration</w:t>
      </w:r>
      <w:r>
        <w:t xml:space="preserve">. Essentially </w:t>
      </w:r>
      <w:r w:rsidRPr="005611CC">
        <w:t>50%</w:t>
      </w:r>
      <w:r>
        <w:t xml:space="preserve"> of the event is correctly detected, but how that is reflected in the scoring depends on the specific metric. Epoch-based scoring with an epoch duration of </w:t>
      </w:r>
      <m:oMath>
        <m:r>
          <w:rPr>
            <w:rFonts w:ascii="Cambria Math" w:hAnsi="Cambria Math"/>
          </w:rPr>
          <m:t>1 sec</m:t>
        </m:r>
      </m:oMath>
      <w:r>
        <w:t xml:space="preserve"> would count </w:t>
      </w:r>
      <m:oMath>
        <m:r>
          <w:rPr>
            <w:rFonts w:ascii="Cambria Math" w:hAnsi="Cambria Math"/>
          </w:rPr>
          <m:t>5</m:t>
        </m:r>
      </m:oMath>
      <w:r>
        <w:t xml:space="preserve"> FN errors and </w:t>
      </w:r>
      <m:oMath>
        <m:r>
          <w:rPr>
            <w:rFonts w:ascii="Cambria Math" w:hAnsi="Cambria Math"/>
          </w:rPr>
          <m:t>5</m:t>
        </m:r>
      </m:oMath>
      <w:r>
        <w:t xml:space="preserve"> TP detections. Term-based scoring would potentially count this as a correct recognition depending on the way overlaps are scored. </w:t>
      </w:r>
    </w:p>
    <w:p w14:paraId="27AE2EC1" w14:textId="558D0EE1" w:rsidR="005137B7" w:rsidRDefault="002A72FF" w:rsidP="005137B7">
      <w:pPr>
        <w:pStyle w:val="BodyText"/>
        <w:widowControl w:val="0"/>
        <w:ind w:firstLine="230"/>
      </w:pPr>
      <w:r>
        <w:rPr>
          <w:noProof/>
        </w:rPr>
        <mc:AlternateContent>
          <mc:Choice Requires="wps">
            <w:drawing>
              <wp:anchor distT="137160" distB="137160" distL="137160" distR="137160" simplePos="0" relativeHeight="251693056" behindDoc="0" locked="0" layoutInCell="1" allowOverlap="1" wp14:anchorId="40F09584" wp14:editId="325273C5">
                <wp:simplePos x="0" y="0"/>
                <wp:positionH relativeFrom="margin">
                  <wp:align>center</wp:align>
                </wp:positionH>
                <wp:positionV relativeFrom="margin">
                  <wp:align>bottom</wp:align>
                </wp:positionV>
                <wp:extent cx="4389120" cy="4005072"/>
                <wp:effectExtent l="0" t="0" r="5080" b="0"/>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4389120" cy="4005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1D44E" w14:textId="77777777" w:rsidR="00FF1B3A" w:rsidRDefault="00FF1B3A" w:rsidP="002A72FF">
                            <w:pPr>
                              <w:spacing w:after="120"/>
                              <w:ind w:firstLine="0"/>
                              <w:jc w:val="center"/>
                              <w:rPr>
                                <w:rFonts w:asciiTheme="majorBidi" w:hAnsiTheme="majorBidi" w:cstheme="majorBidi"/>
                                <w:b/>
                                <w:bCs/>
                              </w:rPr>
                            </w:pPr>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37FA9418" w14:textId="0A7763FD" w:rsidR="00FF1B3A" w:rsidRDefault="00FF1B3A" w:rsidP="00E91D8D">
                            <w:pPr>
                              <w:spacing w:after="240" w:line="240" w:lineRule="auto"/>
                              <w:ind w:firstLine="0"/>
                              <w:jc w:val="center"/>
                              <w:rPr>
                                <w:rFonts w:asciiTheme="majorBidi" w:hAnsiTheme="majorBidi" w:cstheme="majorBidi"/>
                                <w:sz w:val="18"/>
                                <w:szCs w:val="18"/>
                              </w:rPr>
                            </w:pPr>
                            <w:bookmarkStart w:id="8" w:name="_Ref5222083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8"/>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2CECF4F4" w:rsidR="00FF1B3A" w:rsidRDefault="00FF1B3A" w:rsidP="004534C9">
                            <w:pPr>
                              <w:pStyle w:val="Caption"/>
                              <w:spacing w:after="0"/>
                            </w:pPr>
                            <w:bookmarkStart w:id="9"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9"/>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r>
                              <w:rPr>
                                <w:sz w:val="18"/>
                                <w:szCs w:val="18"/>
                              </w:rPr>
                              <w:t xml:space="preserve"> (Example 1) or false alarm (Example 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w14:anchorId="40F09584" id="_x0000_t202" coordsize="21600,21600" o:spt="202" path="m,l,21600r21600,l21600,xe">
                <v:stroke joinstyle="miter"/>
                <v:path gradientshapeok="t" o:connecttype="rect"/>
              </v:shapetype>
              <v:shape id="Text Box 3" o:spid="_x0000_s1026" type="#_x0000_t202" style="position:absolute;left:0;text-align:left;margin-left:0;margin-top:0;width:345.6pt;height:315.35pt;z-index:251693056;visibility:visible;mso-wrap-style:square;mso-height-percent:0;mso-wrap-distance-left:10.8pt;mso-wrap-distance-top:10.8pt;mso-wrap-distance-right:10.8pt;mso-wrap-distance-bottom:10.8pt;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" stroked="f">
                <v:textbox inset="0,0,0,0">
                  <w:txbxContent>
                    <w:p w14:paraId="45C1D44E" w14:textId="77777777" w:rsidR="00FF1B3A" w:rsidRDefault="00FF1B3A" w:rsidP="002A72FF">
                      <w:pPr>
                        <w:spacing w:after="120"/>
                        <w:ind w:firstLine="0"/>
                        <w:jc w:val="center"/>
                        <w:rPr>
                          <w:rFonts w:asciiTheme="majorBidi" w:hAnsiTheme="majorBidi" w:cstheme="majorBidi"/>
                          <w:b/>
                          <w:bCs/>
                        </w:rPr>
                      </w:pPr>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37FA9418" w14:textId="0A7763FD" w:rsidR="00FF1B3A" w:rsidRDefault="00FF1B3A" w:rsidP="00E91D8D">
                      <w:pPr>
                        <w:spacing w:after="240" w:line="240" w:lineRule="auto"/>
                        <w:ind w:firstLine="0"/>
                        <w:jc w:val="center"/>
                        <w:rPr>
                          <w:rFonts w:asciiTheme="majorBidi" w:hAnsiTheme="majorBidi" w:cstheme="majorBidi"/>
                          <w:sz w:val="18"/>
                          <w:szCs w:val="18"/>
                        </w:rPr>
                      </w:pPr>
                      <w:bookmarkStart w:id="10" w:name="_Ref5222083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10"/>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2CECF4F4" w:rsidR="00FF1B3A" w:rsidRDefault="00FF1B3A" w:rsidP="004534C9">
                      <w:pPr>
                        <w:pStyle w:val="Caption"/>
                        <w:spacing w:after="0"/>
                      </w:pPr>
                      <w:bookmarkStart w:id="11"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11"/>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r>
                        <w:rPr>
                          <w:sz w:val="18"/>
                          <w:szCs w:val="18"/>
                        </w:rPr>
                        <w:t xml:space="preserve"> (Example 1) or false alarm (Example 2).</w:t>
                      </w:r>
                    </w:p>
                  </w:txbxContent>
                </v:textbox>
                <w10:wrap type="square" anchorx="margin" anchory="margin"/>
              </v:shape>
            </w:pict>
          </mc:Fallback>
        </mc:AlternateContent>
      </w:r>
      <w:r w:rsidR="008A5A8B">
        <w:t>Term-based metrics score on an event basis and do not count individual frames. A typical approach for calculating errors in term-based scoring is the Any-Overlap Method (OVLP)</w:t>
      </w:r>
      <w:r w:rsidR="0054765F">
        <w:t> </w:t>
      </w:r>
      <w:r w:rsidR="00720FCA">
        <w:fldChar w:fldCharType="begin"/>
      </w:r>
      <w:r w:rsidR="00720FCA">
        <w:instrText xml:space="preserve"> REF _Ref37160778 \n </w:instrText>
      </w:r>
      <w:r w:rsidR="00720FCA">
        <w:fldChar w:fldCharType="separate"/>
      </w:r>
      <w:r w:rsidR="00FF1B3A">
        <w:t>[5]</w:t>
      </w:r>
      <w:r w:rsidR="00720FCA">
        <w:fldChar w:fldCharType="end"/>
      </w:r>
      <w:r w:rsidR="00720FCA">
        <w:fldChar w:fldCharType="begin"/>
      </w:r>
      <w:r w:rsidR="00720FCA">
        <w:instrText xml:space="preserve"> REF _Ref37160791 \n </w:instrText>
      </w:r>
      <w:r w:rsidR="00720FCA">
        <w:fldChar w:fldCharType="separate"/>
      </w:r>
      <w:r w:rsidR="00FF1B3A">
        <w:t>[33]</w:t>
      </w:r>
      <w:r w:rsidR="00720FCA">
        <w:fldChar w:fldCharType="end"/>
      </w:r>
      <w:r w:rsidR="008A5A8B">
        <w:t xml:space="preserve">. TPs are counted when the hypothesis overlaps with </w:t>
      </w:r>
      <w:r w:rsidR="00096DE1">
        <w:t xml:space="preserve">the corresponding event in the </w:t>
      </w:r>
      <w:r w:rsidR="008A5A8B">
        <w:t xml:space="preserve">reference annotation. FPs correspond to situations in which a hypothesis does not overlap with the </w:t>
      </w:r>
      <w:r w:rsidR="00096DE1">
        <w:t xml:space="preserve">corresponding event in the </w:t>
      </w:r>
      <w:r w:rsidR="008A5A8B">
        <w:t>reference. The metric ignores the duration of the term in the reference annotation. In</w:t>
      </w:r>
      <w:r w:rsidR="00991F73">
        <w:t xml:space="preserve"> </w:t>
      </w:r>
      <w:r w:rsidR="00720FCA">
        <w:fldChar w:fldCharType="begin"/>
      </w:r>
      <w:r w:rsidR="00720FCA">
        <w:instrText xml:space="preserve"> REF _Ref37168331  \* MERGEFORMAT </w:instrText>
      </w:r>
      <w:r w:rsidR="00720FCA">
        <w:fldChar w:fldCharType="separate"/>
      </w:r>
      <w:r w:rsidR="00FF1B3A" w:rsidRPr="00E91D8D">
        <w:t>Figure 2</w:t>
      </w:r>
      <w:r w:rsidR="00720FCA">
        <w:fldChar w:fldCharType="end"/>
      </w:r>
      <w:r w:rsidR="008A5A8B">
        <w:t xml:space="preserve">, we demonstrate two extreme cases for which the OVLP metric fails. In each case, </w:t>
      </w:r>
      <m:oMath>
        <m:r>
          <w:rPr>
            <w:rFonts w:ascii="Cambria Math" w:hAnsi="Cambria Math"/>
          </w:rPr>
          <m:t>90%</m:t>
        </m:r>
      </m:oMath>
      <w:r w:rsidR="008A5A8B">
        <w:t xml:space="preserve"> of the event is incorrectly scored. In </w:t>
      </w:r>
      <w:r w:rsidR="00C25C6B">
        <w:t>E</w:t>
      </w:r>
      <w:r w:rsidR="008A5A8B">
        <w:t xml:space="preserve">xample 1, the system does not detect approximately </w:t>
      </w:r>
      <m:oMath>
        <m:r>
          <w:rPr>
            <w:rFonts w:ascii="Cambria Math" w:hAnsi="Cambria Math"/>
          </w:rPr>
          <m:t>9</m:t>
        </m:r>
      </m:oMath>
      <w:r w:rsidR="008A5A8B">
        <w:t xml:space="preserve"> seconds </w:t>
      </w:r>
      <w:r w:rsidR="008A5A8B">
        <w:lastRenderedPageBreak/>
        <w:t xml:space="preserve">of a seizure event, while in </w:t>
      </w:r>
      <w:r w:rsidR="00C25C6B">
        <w:t>E</w:t>
      </w:r>
      <w:r w:rsidR="008A5A8B">
        <w:t xml:space="preserve">xample 2, the system incorrectly labels an additional </w:t>
      </w:r>
      <w:r w:rsidR="008A5A8B" w:rsidRPr="005611CC">
        <w:t>9</w:t>
      </w:r>
      <w:r w:rsidR="00096DE1">
        <w:t> </w:t>
      </w:r>
      <w:r w:rsidR="008A5A8B">
        <w:t>seconds of time as seizure. OVLP is considered a very permissive way of scoring, resulting in artificially high sensitivities. In</w:t>
      </w:r>
      <w:r w:rsidR="002A1756">
        <w:t xml:space="preserve"> </w:t>
      </w:r>
      <w:r w:rsidR="00720FCA">
        <w:fldChar w:fldCharType="begin"/>
      </w:r>
      <w:r w:rsidR="00720FCA">
        <w:instrText xml:space="preserve"> REF _Ref37168331  \* MERGEFORMAT </w:instrText>
      </w:r>
      <w:r w:rsidR="00720FCA">
        <w:fldChar w:fldCharType="separate"/>
      </w:r>
      <w:r w:rsidR="00FF1B3A" w:rsidRPr="00E91D8D">
        <w:t>Figure 2</w:t>
      </w:r>
      <w:r w:rsidR="00720FCA">
        <w:fldChar w:fldCharType="end"/>
      </w:r>
      <w:r w:rsidR="008A5A8B">
        <w:t>, the OVLP metric will score both examples as 100% TP.</w:t>
      </w:r>
      <w:r w:rsidR="00C25C6B">
        <w:t xml:space="preserve"> These kinds of significant differences in scoring, and in the interpretation of the results, necessitate a deeper look at the characteristics of several popular evaluation metrics, and motivate the need for industry-wide standardized scoring. That is the focus of this book chapter.</w:t>
      </w:r>
    </w:p>
    <w:p w14:paraId="50EB1D5F" w14:textId="46821B88" w:rsidR="005F55DC" w:rsidRDefault="008A5A8B" w:rsidP="004534C9">
      <w:pPr>
        <w:pStyle w:val="heading1"/>
        <w:ind w:left="562" w:hanging="562"/>
      </w:pPr>
      <w:bookmarkStart w:id="12" w:name="_Ref36961134"/>
      <w:r>
        <w:t>Evaluation Metrics</w:t>
      </w:r>
      <w:bookmarkEnd w:id="12"/>
    </w:p>
    <w:p w14:paraId="18D90E50" w14:textId="266A41C6" w:rsidR="00F66FD5" w:rsidRDefault="00F66FD5" w:rsidP="00F66FD5">
      <w:pPr>
        <w:pStyle w:val="BodyText"/>
      </w:pPr>
      <w:r>
        <w:t xml:space="preserve">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w:t>
      </w:r>
      <w:r w:rsidR="001D300B">
        <w:t>the National of Standards and Technology (</w:t>
      </w:r>
      <w:r>
        <w:t>NIST</w:t>
      </w:r>
      <w:r w:rsidR="001D300B">
        <w:t>) </w:t>
      </w:r>
      <w:r w:rsidR="00720FCA">
        <w:fldChar w:fldCharType="begin"/>
      </w:r>
      <w:r w:rsidR="00720FCA">
        <w:instrText xml:space="preserve"> REF _Ref37058847 \n </w:instrText>
      </w:r>
      <w:r w:rsidR="00720FCA">
        <w:fldChar w:fldCharType="separate"/>
      </w:r>
      <w:r w:rsidR="00FF1B3A">
        <w:t>[22]</w:t>
      </w:r>
      <w:r w:rsidR="00720FCA">
        <w:fldChar w:fldCharType="end"/>
      </w:r>
      <w:r w:rsidR="00720FCA">
        <w:fldChar w:fldCharType="begin"/>
      </w:r>
      <w:r w:rsidR="00720FCA">
        <w:instrText xml:space="preserve"> REF _Ref37179880 \n </w:instrText>
      </w:r>
      <w:r w:rsidR="00720FCA">
        <w:fldChar w:fldCharType="separate"/>
      </w:r>
      <w:r w:rsidR="00FF1B3A">
        <w:t>[23]</w:t>
      </w:r>
      <w:r w:rsidR="00720FCA">
        <w:fldChar w:fldCharType="end"/>
      </w:r>
      <w:r w:rsidR="00720FCA">
        <w:fldChar w:fldCharType="begin"/>
      </w:r>
      <w:r w:rsidR="00720FCA">
        <w:instrText xml:space="preserve"> REF _Ref37168430 \n </w:instrText>
      </w:r>
      <w:r w:rsidR="00720FCA">
        <w:fldChar w:fldCharType="separate"/>
      </w:r>
      <w:r w:rsidR="00FF1B3A">
        <w:t>[34]</w:t>
      </w:r>
      <w:r w:rsidR="00720FCA">
        <w:fldChar w:fldCharType="end"/>
      </w:r>
      <w:r>
        <w:t xml:space="preserve">. These evaluations resulted in the introduction of a single metric, ATWV, to address concerns about tradeoffs for the different types of errors that occur in voice keyword search systems. Despite being popular in the voice processing community, ATWV has not been </w:t>
      </w:r>
      <w:r w:rsidR="00880246">
        <w:t xml:space="preserve">widely </w:t>
      </w:r>
      <w:r>
        <w:t xml:space="preserve">used </w:t>
      </w:r>
      <w:r w:rsidR="00880246">
        <w:t xml:space="preserve">outside the voice processing </w:t>
      </w:r>
      <w:r>
        <w:t>community.</w:t>
      </w:r>
    </w:p>
    <w:p w14:paraId="5A06D7B2" w14:textId="556A1AC0" w:rsidR="00F66FD5" w:rsidRPr="00F66FD5" w:rsidRDefault="00F66FD5" w:rsidP="00F66FD5">
      <w:pPr>
        <w:pStyle w:val="BodyText"/>
      </w:pPr>
      <w:r w:rsidRPr="00F66FD5">
        <w:t xml:space="preserve">Therefore, in this </w:t>
      </w:r>
      <w:r w:rsidR="002372A4">
        <w:t>chapter</w:t>
      </w:r>
      <w:r w:rsidRPr="00F66FD5">
        <w:t xml:space="preserve">, we </w:t>
      </w:r>
      <w:r w:rsidR="00991F73">
        <w:t xml:space="preserve">present a detailed comparison of </w:t>
      </w:r>
      <w:r w:rsidRPr="00F66FD5">
        <w:t xml:space="preserve">five </w:t>
      </w:r>
      <w:r w:rsidR="007E5571">
        <w:t xml:space="preserve">important scoring metrics popular in a wide range of machine learning communities. </w:t>
      </w:r>
      <w:r w:rsidR="00991F73">
        <w:t>These are briefly described below</w:t>
      </w:r>
      <w:r w:rsidRPr="00F66FD5">
        <w:t>:</w:t>
      </w:r>
    </w:p>
    <w:p w14:paraId="538DB030" w14:textId="5B798CD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NIST Actual Term-Weighted Value (ATWV):</w:t>
      </w:r>
      <w:r w:rsidRPr="004534C9">
        <w:rPr>
          <w:sz w:val="18"/>
          <w:szCs w:val="18"/>
        </w:rPr>
        <w:t xml:space="preserve">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7DAD0A2F" w14:textId="6BAD43AD" w:rsidR="00F66FD5" w:rsidRPr="007E5571" w:rsidRDefault="00F66FD5" w:rsidP="001D532F">
      <w:pPr>
        <w:pStyle w:val="BodyText"/>
        <w:numPr>
          <w:ilvl w:val="0"/>
          <w:numId w:val="19"/>
        </w:numPr>
        <w:spacing w:after="60" w:line="240" w:lineRule="auto"/>
        <w:ind w:left="547"/>
        <w:rPr>
          <w:sz w:val="18"/>
          <w:szCs w:val="18"/>
        </w:rPr>
      </w:pPr>
      <w:r w:rsidRPr="004534C9">
        <w:rPr>
          <w:i/>
          <w:iCs/>
          <w:sz w:val="18"/>
          <w:szCs w:val="18"/>
        </w:rPr>
        <w:t>Dynamic Programming Alignment (DPALIGN):</w:t>
      </w:r>
      <w:r w:rsidRPr="007E5571">
        <w:rPr>
          <w:sz w:val="18"/>
          <w:szCs w:val="18"/>
        </w:rPr>
        <w:t xml:space="preserve"> similar to the NIST package known as SCLite</w:t>
      </w:r>
      <w:r w:rsidR="00B51A73">
        <w:rPr>
          <w:sz w:val="18"/>
          <w:szCs w:val="18"/>
        </w:rPr>
        <w:t> </w:t>
      </w:r>
      <w:r w:rsidR="00B51A73">
        <w:rPr>
          <w:sz w:val="18"/>
          <w:szCs w:val="18"/>
        </w:rPr>
        <w:fldChar w:fldCharType="begin"/>
      </w:r>
      <w:r w:rsidR="00B51A73">
        <w:rPr>
          <w:sz w:val="18"/>
          <w:szCs w:val="18"/>
        </w:rPr>
        <w:instrText xml:space="preserve"> REF _Ref37169086 \n </w:instrText>
      </w:r>
      <w:r w:rsidR="00B51A73">
        <w:rPr>
          <w:sz w:val="18"/>
          <w:szCs w:val="18"/>
        </w:rPr>
        <w:fldChar w:fldCharType="separate"/>
      </w:r>
      <w:r w:rsidR="00FF1B3A">
        <w:rPr>
          <w:sz w:val="18"/>
          <w:szCs w:val="18"/>
        </w:rPr>
        <w:t>[35]</w:t>
      </w:r>
      <w:r w:rsidR="00B51A73">
        <w:rPr>
          <w:sz w:val="18"/>
          <w:szCs w:val="18"/>
        </w:rPr>
        <w:fldChar w:fldCharType="end"/>
      </w:r>
      <w:r w:rsidRPr="007E5571">
        <w:rPr>
          <w:sz w:val="18"/>
          <w:szCs w:val="18"/>
        </w:rPr>
        <w:t>, this metric uses a dynamic programming algorithm to align terms. It is most often used in a mode in which the time alignments produced by the system are ignored.</w:t>
      </w:r>
    </w:p>
    <w:p w14:paraId="726CAABA" w14:textId="5C9FC2B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Epoch-Based Sampling (EPOCH):</w:t>
      </w:r>
      <w:r w:rsidRPr="004534C9">
        <w:rPr>
          <w:sz w:val="18"/>
          <w:szCs w:val="18"/>
        </w:rPr>
        <w:t xml:space="preserve"> treats the reference and hypothesis as temporal signals, samples each at a fixed epoch duration, and counts errors accordingly.</w:t>
      </w:r>
    </w:p>
    <w:p w14:paraId="4DDE92F0" w14:textId="032C91E2"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Any-Overlap (OVLP):</w:t>
      </w:r>
      <w:r w:rsidRPr="004534C9">
        <w:rPr>
          <w:sz w:val="18"/>
          <w:szCs w:val="18"/>
        </w:rPr>
        <w:t xml:space="preserve"> assesses the overlap in time between a reference and hypothesis event, and counts errors using binary scores for each event. </w:t>
      </w:r>
    </w:p>
    <w:p w14:paraId="6EB7D448" w14:textId="323B0ED9" w:rsidR="00F66FD5" w:rsidRDefault="00F66FD5" w:rsidP="001D532F">
      <w:pPr>
        <w:pStyle w:val="BodyText"/>
        <w:numPr>
          <w:ilvl w:val="0"/>
          <w:numId w:val="19"/>
        </w:numPr>
        <w:spacing w:after="60" w:line="240" w:lineRule="auto"/>
        <w:ind w:left="547"/>
        <w:rPr>
          <w:sz w:val="18"/>
          <w:szCs w:val="18"/>
        </w:rPr>
      </w:pPr>
      <w:r w:rsidRPr="004534C9">
        <w:rPr>
          <w:i/>
          <w:iCs/>
          <w:sz w:val="18"/>
          <w:szCs w:val="18"/>
        </w:rPr>
        <w:t>Time-Aligned Event Scoring (TAES):</w:t>
      </w:r>
      <w:r w:rsidRPr="004534C9">
        <w:rPr>
          <w:sz w:val="18"/>
          <w:szCs w:val="18"/>
        </w:rPr>
        <w:t xml:space="preserve"> similar to (4</w:t>
      </w:r>
      <w:r w:rsidR="007E5571" w:rsidRPr="00DF4924">
        <w:rPr>
          <w:sz w:val="18"/>
          <w:szCs w:val="18"/>
        </w:rPr>
        <w:t>) but</w:t>
      </w:r>
      <w:r w:rsidRPr="004534C9">
        <w:rPr>
          <w:sz w:val="18"/>
          <w:szCs w:val="18"/>
        </w:rPr>
        <w:t xml:space="preserve"> considers the percentage overlap between the two events and weights errors accordingly.</w:t>
      </w:r>
    </w:p>
    <w:p w14:paraId="53904D07" w14:textId="7462083F" w:rsidR="00532C7E" w:rsidRDefault="00532C7E" w:rsidP="004534C9">
      <w:pPr>
        <w:pStyle w:val="BodyText"/>
        <w:ind w:firstLine="0"/>
      </w:pPr>
      <w:r>
        <w:t>It is important to understand that each of these measures estimates TP, TN, FP and FN through some sort of error analysis. From these estimated quantities, traditional</w:t>
      </w:r>
      <w:r w:rsidR="00A54859">
        <w:t xml:space="preserve"> </w:t>
      </w:r>
      <w:r>
        <w:t>measures such as sensitivity and specificity are computed, as shown in</w:t>
      </w:r>
      <w:r w:rsidR="00D60740">
        <w:t xml:space="preserve"> </w:t>
      </w:r>
      <w:r>
        <w:t>Eq</w:t>
      </w:r>
      <w:r w:rsidR="00D60740">
        <w:t>s. </w:t>
      </w:r>
      <w:r w:rsidR="00720FCA">
        <w:fldChar w:fldCharType="begin"/>
      </w:r>
      <w:r w:rsidR="00720FCA">
        <w:instrText xml:space="preserve"> REF equation_</w:instrText>
      </w:r>
      <w:r w:rsidR="00720FCA">
        <w:instrText xml:space="preserve">sensitivity  \* MERGEFORMAT </w:instrText>
      </w:r>
      <w:r w:rsidR="00720FCA">
        <w:fldChar w:fldCharType="separate"/>
      </w:r>
      <w:r w:rsidR="00FF1B3A" w:rsidRPr="00E91D8D">
        <w:t>(1)</w:t>
      </w:r>
      <w:r w:rsidR="00720FCA">
        <w:fldChar w:fldCharType="end"/>
      </w:r>
      <w:r w:rsidR="00D60740">
        <w:noBreakHyphen/>
      </w:r>
      <w:r w:rsidR="00720FCA">
        <w:fldChar w:fldCharType="begin"/>
      </w:r>
      <w:r w:rsidR="00720FCA">
        <w:instrText xml:space="preserve"> REF equation_mcc  \* MERGEFORMAT </w:instrText>
      </w:r>
      <w:r w:rsidR="00720FCA">
        <w:fldChar w:fldCharType="separate"/>
      </w:r>
      <w:r w:rsidR="00FF1B3A" w:rsidRPr="00E91D8D">
        <w:t>(6)</w:t>
      </w:r>
      <w:r w:rsidR="00720FCA">
        <w:fldChar w:fldCharType="end"/>
      </w:r>
      <w:r w:rsidR="00D60740">
        <w:t xml:space="preserve">. </w:t>
      </w:r>
      <w:r>
        <w:t>As a result, we will see that sensitivity is a function of the underlying metric, and this is why it is important there be community-wide agreement on a specific metric.</w:t>
      </w:r>
    </w:p>
    <w:p w14:paraId="534CF8B6" w14:textId="49C4A3C9" w:rsidR="002372A4" w:rsidRDefault="007E5571" w:rsidP="00532C7E">
      <w:pPr>
        <w:pStyle w:val="BodyText"/>
      </w:pPr>
      <w:r w:rsidRPr="004534C9">
        <w:t xml:space="preserve">We also include </w:t>
      </w:r>
      <w:r w:rsidR="00D60740">
        <w:t xml:space="preserve">two </w:t>
      </w:r>
      <w:r w:rsidRPr="004534C9">
        <w:t>derived measure</w:t>
      </w:r>
      <w:r w:rsidR="00D60740">
        <w:t>s</w:t>
      </w:r>
      <w:r w:rsidR="002372A4">
        <w:t xml:space="preserve"> in our analysis:</w:t>
      </w:r>
    </w:p>
    <w:p w14:paraId="294D442E" w14:textId="502F1F01" w:rsidR="002372A4" w:rsidRDefault="002372A4" w:rsidP="001D532F">
      <w:pPr>
        <w:pStyle w:val="BodyText"/>
        <w:numPr>
          <w:ilvl w:val="0"/>
          <w:numId w:val="19"/>
        </w:numPr>
        <w:spacing w:after="60" w:line="240" w:lineRule="auto"/>
        <w:ind w:left="547"/>
        <w:rPr>
          <w:sz w:val="18"/>
          <w:szCs w:val="18"/>
        </w:rPr>
      </w:pPr>
      <w:r w:rsidRPr="00691D5D">
        <w:rPr>
          <w:i/>
          <w:iCs/>
          <w:sz w:val="18"/>
          <w:szCs w:val="18"/>
        </w:rPr>
        <w:t>Inter-Rater Agreement (IRA):</w:t>
      </w:r>
      <w:r w:rsidRPr="00691D5D">
        <w:rPr>
          <w:sz w:val="18"/>
          <w:szCs w:val="18"/>
        </w:rPr>
        <w:t xml:space="preserve"> uses EPOCH scoring to estimate errors, and calculates Cohen’s Kappa coefficient </w:t>
      </w:r>
      <w:r w:rsidRPr="00691D5D">
        <w:rPr>
          <w:sz w:val="18"/>
          <w:szCs w:val="18"/>
        </w:rPr>
        <w:fldChar w:fldCharType="begin" w:fldLock="1"/>
      </w:r>
      <w:r w:rsidRPr="00691D5D">
        <w:rPr>
          <w:sz w:val="18"/>
          <w:szCs w:val="18"/>
        </w:rPr>
        <w:instrText>ADDIN CSL_CITATION {"citationItems":[{"id":"ITEM-1","itemData":{"DOI":"10.11613/BM.2012.031","ISSN":"1330-0962","author":[{"dropping-particle":"","family":"McHugh","given":"Mary L","non-dropping-particle":"","parse-names":false,"suffix":""}],"container-title":"Biochemia Medica","id":"ITEM-1","issue":"3","issued":{"date-parts":[["2012","10","15"]]},"page":"276-282","publisher":"Croatian Society of Medical Biochemistry and Laboratory Medicine","title":"Interrater reliability: the kappa statistic","type":"article-journal","volume":"22"},"uris":["http://www.mendeley.com/documents/?uuid=480581bb-bbb1-43a5-87cc-a09f2bca01d9"]}],"mendeley":{"formattedCitation":"[31]","plainTextFormattedCitation":"[31]","previouslyFormattedCitation":"[31]"},"properties":{"noteIndex":0},"schema":"https://github.com/citation-style-language/schema/raw/master/csl-citation.json"}</w:instrText>
      </w:r>
      <w:r w:rsidRPr="00691D5D">
        <w:rPr>
          <w:sz w:val="18"/>
          <w:szCs w:val="18"/>
        </w:rPr>
        <w:fldChar w:fldCharType="separate"/>
      </w:r>
      <w:r w:rsidRPr="00691D5D">
        <w:rPr>
          <w:noProof/>
          <w:sz w:val="18"/>
          <w:szCs w:val="18"/>
        </w:rPr>
        <w:t>[31]</w:t>
      </w:r>
      <w:r w:rsidRPr="00691D5D">
        <w:rPr>
          <w:sz w:val="18"/>
          <w:szCs w:val="18"/>
        </w:rPr>
        <w:fldChar w:fldCharType="end"/>
      </w:r>
      <w:r w:rsidRPr="00691D5D">
        <w:rPr>
          <w:sz w:val="18"/>
          <w:szCs w:val="18"/>
        </w:rPr>
        <w:t xml:space="preserve"> using the measured TP, TN, FP and FN.</w:t>
      </w:r>
    </w:p>
    <w:p w14:paraId="01B21E9E" w14:textId="343D35B1" w:rsidR="002372A4" w:rsidRPr="004534C9" w:rsidRDefault="002372A4" w:rsidP="001D532F">
      <w:pPr>
        <w:pStyle w:val="BodyText"/>
        <w:numPr>
          <w:ilvl w:val="0"/>
          <w:numId w:val="19"/>
        </w:numPr>
        <w:spacing w:line="240" w:lineRule="auto"/>
        <w:ind w:left="547"/>
        <w:rPr>
          <w:sz w:val="18"/>
          <w:szCs w:val="18"/>
        </w:rPr>
      </w:pPr>
      <w:r w:rsidRPr="004534C9">
        <w:rPr>
          <w:i/>
          <w:iCs/>
          <w:sz w:val="18"/>
          <w:szCs w:val="18"/>
        </w:rPr>
        <w:lastRenderedPageBreak/>
        <w:t>Area Under the Curve (AUC):</w:t>
      </w:r>
      <w:r>
        <w:t xml:space="preserve"> </w:t>
      </w:r>
      <w:r w:rsidRPr="004534C9">
        <w:rPr>
          <w:sz w:val="18"/>
          <w:szCs w:val="18"/>
        </w:rPr>
        <w:t xml:space="preserve">Reduces </w:t>
      </w:r>
      <w:r w:rsidRPr="00DF4924">
        <w:rPr>
          <w:sz w:val="18"/>
          <w:szCs w:val="18"/>
        </w:rPr>
        <w:t>a</w:t>
      </w:r>
      <w:r w:rsidRPr="004534C9">
        <w:rPr>
          <w:sz w:val="18"/>
          <w:szCs w:val="18"/>
        </w:rPr>
        <w:t xml:space="preserve"> ROC or DET curve to a single scalar figure of merit by measuring the area encompassed by the curve.</w:t>
      </w:r>
    </w:p>
    <w:p w14:paraId="1D57B8DB" w14:textId="6FE34BC0" w:rsidR="00F66FD5" w:rsidRPr="00DF4924" w:rsidRDefault="00D60740" w:rsidP="004534C9">
      <w:pPr>
        <w:pStyle w:val="BodyText"/>
        <w:ind w:firstLine="0"/>
      </w:pPr>
      <w:r>
        <w:t>IRA</w:t>
      </w:r>
      <w:r w:rsidR="002372A4">
        <w:t xml:space="preserve"> </w:t>
      </w:r>
      <w:r w:rsidR="007E5571">
        <w:t>is popular for comparing the variability in human annotations</w:t>
      </w:r>
      <w:r w:rsidR="00532C7E">
        <w:t xml:space="preserve"> when manually annotating reference data</w:t>
      </w:r>
      <w:r w:rsidR="002372A4">
        <w:t xml:space="preserve">. </w:t>
      </w:r>
      <w:r w:rsidR="007E5571" w:rsidRPr="00DF4924">
        <w:t>We consider this a derived mea</w:t>
      </w:r>
      <w:r w:rsidR="007E5571" w:rsidRPr="00277F22">
        <w:t>sure because it relies on one of the first five measures to estimate errors.</w:t>
      </w:r>
      <w:r w:rsidR="002372A4">
        <w:t xml:space="preserve"> Similarly, AUC relies on the generation of </w:t>
      </w:r>
      <w:r w:rsidR="001A0854">
        <w:t>a</w:t>
      </w:r>
      <w:r w:rsidR="00880246">
        <w:t xml:space="preserve">n </w:t>
      </w:r>
      <w:r w:rsidR="002372A4">
        <w:t xml:space="preserve">ROC or DET curve, which in turn depend on one of the </w:t>
      </w:r>
      <w:r w:rsidR="002372A4" w:rsidRPr="00691D5D">
        <w:t>first five measures to estimate errors</w:t>
      </w:r>
      <w:r w:rsidR="002372A4">
        <w:t>.</w:t>
      </w:r>
    </w:p>
    <w:p w14:paraId="71BF8F4E" w14:textId="5F559C18" w:rsidR="005F55DC" w:rsidRDefault="00F66FD5" w:rsidP="00F66FD5">
      <w:pPr>
        <w:pStyle w:val="BodyText"/>
      </w:pPr>
      <w:r>
        <w:t xml:space="preserve">We now briefly describe each of these approaches and provide several examples that illustrate their strengths and weaknesses. These examples are drawn on a compressed </w:t>
      </w:r>
      <w:r w:rsidR="002372A4">
        <w:t>timescale</w:t>
      </w:r>
      <w:r>
        <w:t xml:space="preserve"> for illustrative purposes and were carefully selected because they </w:t>
      </w:r>
      <w:r w:rsidR="000077E8">
        <w:t>demonstrate the strengths and weaknesses of the algorithms we are evaluating.</w:t>
      </w:r>
    </w:p>
    <w:p w14:paraId="08CF46EB" w14:textId="6415562A" w:rsidR="005F55DC" w:rsidRDefault="00F66FD5" w:rsidP="00457390">
      <w:pPr>
        <w:pStyle w:val="heading2"/>
      </w:pPr>
      <w:bookmarkStart w:id="13" w:name="_Ref5710450"/>
      <w:r>
        <w:t>NIST Actual Term-Weighted Value (ATWV)</w:t>
      </w:r>
      <w:bookmarkEnd w:id="13"/>
    </w:p>
    <w:p w14:paraId="62D9E0E6" w14:textId="4691CBE8" w:rsidR="00F66FD5" w:rsidRDefault="00F66FD5" w:rsidP="00F66FD5">
      <w:pPr>
        <w:pStyle w:val="BodyText"/>
      </w:pPr>
      <w:r>
        <w:t xml:space="preserve">ATWV is a measure that balances sensitivity and FA rate. ATWV essentially assigns an application-dependent reward to each correct detection and a penalty to each incorrect detection. A perfect system results in an ATWV of </w:t>
      </w:r>
      <m:oMath>
        <m:r>
          <w:rPr>
            <w:rFonts w:ascii="Cambria Math" w:hAnsi="Cambria Math"/>
          </w:rPr>
          <m:t>1.0</m:t>
        </m:r>
      </m:oMath>
      <w:r>
        <w:t xml:space="preserve">, while a system with no output results in an ATWV of </w:t>
      </w:r>
      <m:oMath>
        <m:r>
          <w:rPr>
            <w:rFonts w:ascii="Cambria Math" w:hAnsi="Cambria Math"/>
          </w:rPr>
          <m:t>0.0</m:t>
        </m:r>
      </m:oMath>
      <w:r>
        <w:t xml:space="preserve">. It is possible for ATWV to be less than zero if a system is doing very poorly (for example a high FA rate). Experiments in voice keyword search have shown that an ATWV greater than </w:t>
      </w:r>
      <m:oMath>
        <m:r>
          <w:rPr>
            <w:rFonts w:ascii="Cambria Math" w:hAnsi="Cambria Math"/>
          </w:rPr>
          <m:t>0.5</m:t>
        </m:r>
      </m:oMath>
      <w:r>
        <w:t xml:space="preserve"> typically indicates a promising or usable system for information retrieval by voice applications. We believe a similar range is applicable to EEG analysis.</w:t>
      </w:r>
    </w:p>
    <w:p w14:paraId="5B95B5E3" w14:textId="6DFD5F69" w:rsidR="00F66FD5" w:rsidRDefault="00F66FD5" w:rsidP="00F66FD5">
      <w:pPr>
        <w:pStyle w:val="BodyText"/>
      </w:pPr>
      <w:r>
        <w:t xml:space="preserve">The metric accepts as input a list of </w:t>
      </w:r>
      <w:r w:rsidRPr="00F66FD5">
        <w:t>N</w:t>
      </w:r>
      <w:r>
        <w:t xml:space="preserve">-tuples representing the hypotheses for the system being evaluated. Each of these </w:t>
      </w:r>
      <w:r w:rsidRPr="00F66FD5">
        <w:t>N</w:t>
      </w:r>
      <w:r>
        <w:t>-tuples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w:t>
      </w:r>
      <w:r w:rsidR="001D300B">
        <w:t xml:space="preserve">s </w:t>
      </w:r>
      <w:r>
        <w:t>or confidence scores</w:t>
      </w:r>
      <w:r w:rsidR="000A26D9">
        <w:t> </w:t>
      </w:r>
      <w:r w:rsidR="00720FCA">
        <w:fldChar w:fldCharType="begin"/>
      </w:r>
      <w:r w:rsidR="00720FCA">
        <w:instrText xml:space="preserve"> REF _Ref37058847 \n </w:instrText>
      </w:r>
      <w:r w:rsidR="00720FCA">
        <w:fldChar w:fldCharType="separate"/>
      </w:r>
      <w:r w:rsidR="00FF1B3A">
        <w:t>[22]</w:t>
      </w:r>
      <w:r w:rsidR="00720FCA">
        <w:fldChar w:fldCharType="end"/>
      </w:r>
      <w:r>
        <w:t>. The probabilities of</w:t>
      </w:r>
      <w:r w:rsidR="001D300B">
        <w:t xml:space="preserve"> errors due to </w:t>
      </w:r>
      <w:r>
        <w:t>miss</w:t>
      </w:r>
      <w:r w:rsidR="001D300B">
        <w:t xml:space="preserve">es </w:t>
      </w:r>
      <w:r>
        <w:t xml:space="preserve">and </w:t>
      </w:r>
      <w:r w:rsidR="001D300B">
        <w:t xml:space="preserve">false alarms </w:t>
      </w:r>
      <w:r>
        <w:t xml:space="preserve">at a detection threshold </w:t>
      </w:r>
      <m:oMath>
        <m:r>
          <w:rPr>
            <w:rFonts w:ascii="Cambria Math" w:hAnsi="Cambria Math"/>
          </w:rPr>
          <m:t>θ</m:t>
        </m:r>
      </m:oMath>
      <w:r>
        <w:t xml:space="preserve"> are computed using:</w:t>
      </w:r>
    </w:p>
    <w:bookmarkStart w:id="14" w:name="_Hlk503804284"/>
    <w:p w14:paraId="196FB99B" w14:textId="00443658" w:rsidR="00F66FD5" w:rsidRPr="004534C9" w:rsidRDefault="00720FCA" w:rsidP="00DF4924">
      <w:pPr>
        <w:pStyle w:val="Equation"/>
        <w:tabs>
          <w:tab w:val="right" w:pos="6918"/>
        </w:tabs>
        <w:spacing w:after="60"/>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f>
          <m:fPr>
            <m:type m:val="skw"/>
            <m:ctrlPr>
              <w:rPr>
                <w:rFonts w:ascii="Cambria Math" w:hAnsi="Cambria Math"/>
                <w:i/>
                <w:iCs/>
                <w:sz w:val="18"/>
                <w:szCs w:val="18"/>
              </w:rPr>
            </m:ctrlPr>
          </m:fPr>
          <m:num>
            <w:bookmarkStart w:id="15" w:name="_Hlk503804615"/>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Correct</m:t>
                </m:r>
                <m:d>
                  <m:dPr>
                    <m:ctrlPr>
                      <w:rPr>
                        <w:rFonts w:ascii="Cambria Math" w:hAnsi="Cambria Math"/>
                        <w:i/>
                        <w:iCs/>
                        <w:sz w:val="18"/>
                        <w:szCs w:val="18"/>
                      </w:rPr>
                    </m:ctrlPr>
                  </m:dPr>
                  <m:e>
                    <m:r>
                      <w:rPr>
                        <w:rFonts w:ascii="Cambria Math" w:hAnsi="Cambria Math"/>
                        <w:sz w:val="18"/>
                        <w:szCs w:val="18"/>
                      </w:rPr>
                      <m:t>kw,θ</m:t>
                    </m:r>
                  </m:e>
                </m:d>
              </m:sub>
            </m:sSub>
            <w:bookmarkEnd w:id="15"/>
          </m:num>
          <m:den>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Ref</m:t>
                </m:r>
                <m:d>
                  <m:dPr>
                    <m:ctrlPr>
                      <w:rPr>
                        <w:rFonts w:ascii="Cambria Math" w:hAnsi="Cambria Math"/>
                        <w:i/>
                        <w:iCs/>
                        <w:sz w:val="18"/>
                        <w:szCs w:val="18"/>
                      </w:rPr>
                    </m:ctrlPr>
                  </m:dPr>
                  <m:e>
                    <m:r>
                      <w:rPr>
                        <w:rFonts w:ascii="Cambria Math" w:hAnsi="Cambria Math"/>
                        <w:sz w:val="18"/>
                        <w:szCs w:val="18"/>
                      </w:rPr>
                      <m:t>kw</m:t>
                    </m:r>
                  </m:e>
                </m:d>
              </m:sub>
            </m:sSub>
          </m:den>
        </m:f>
        <m:r>
          <w:rPr>
            <w:rFonts w:ascii="Cambria Math" w:hAnsi="Cambria Math"/>
            <w:sz w:val="18"/>
            <w:szCs w:val="18"/>
          </w:rPr>
          <m:t> ,</m:t>
        </m:r>
      </m:oMath>
      <w:r w:rsidR="00F66FD5" w:rsidRPr="004534C9">
        <w:rPr>
          <w:rFonts w:ascii="Cambria Math" w:hAnsi="Cambria Math"/>
          <w:i/>
          <w:iCs/>
          <w:sz w:val="18"/>
          <w:szCs w:val="18"/>
        </w:rPr>
        <w:t> </w:t>
      </w:r>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7</w:t>
      </w:r>
      <w:r w:rsidR="001A0854" w:rsidRPr="004534C9">
        <w:rPr>
          <w:sz w:val="18"/>
          <w:szCs w:val="18"/>
        </w:rPr>
        <w:fldChar w:fldCharType="end"/>
      </w:r>
      <w:r w:rsidR="001A0854" w:rsidRPr="004534C9">
        <w:rPr>
          <w:sz w:val="18"/>
          <w:szCs w:val="18"/>
        </w:rPr>
        <w:t>)</w:t>
      </w:r>
      <w:bookmarkEnd w:id="14"/>
    </w:p>
    <w:p w14:paraId="6E30379D" w14:textId="6445F2BB" w:rsidR="00F66FD5" w:rsidRPr="004534C9" w:rsidRDefault="00720FCA"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m:t>
        </m:r>
        <m:f>
          <m:fPr>
            <m:type m:val="skw"/>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Spurious</m:t>
                </m:r>
                <m:d>
                  <m:dPr>
                    <m:ctrlPr>
                      <w:rPr>
                        <w:rFonts w:ascii="Cambria Math" w:hAnsi="Cambria Math"/>
                        <w:i/>
                        <w:iCs/>
                        <w:sz w:val="18"/>
                        <w:szCs w:val="18"/>
                      </w:rPr>
                    </m:ctrlPr>
                  </m:dPr>
                  <m:e>
                    <m:r>
                      <w:rPr>
                        <w:rFonts w:ascii="Cambria Math" w:hAnsi="Cambria Math"/>
                        <w:sz w:val="18"/>
                        <w:szCs w:val="18"/>
                      </w:rPr>
                      <m:t>kw,θ</m:t>
                    </m:r>
                  </m:e>
                </m:d>
              </m:sub>
            </m:sSub>
          </m:num>
          <m:den>
            <w:bookmarkStart w:id="16" w:name="_Hlk503804842"/>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NT</m:t>
                </m:r>
                <m:d>
                  <m:dPr>
                    <m:ctrlPr>
                      <w:rPr>
                        <w:rFonts w:ascii="Cambria Math" w:hAnsi="Cambria Math"/>
                        <w:i/>
                        <w:iCs/>
                        <w:sz w:val="18"/>
                        <w:szCs w:val="18"/>
                      </w:rPr>
                    </m:ctrlPr>
                  </m:dPr>
                  <m:e>
                    <m:r>
                      <w:rPr>
                        <w:rFonts w:ascii="Cambria Math" w:hAnsi="Cambria Math"/>
                        <w:sz w:val="18"/>
                        <w:szCs w:val="18"/>
                      </w:rPr>
                      <m:t>kw</m:t>
                    </m:r>
                  </m:e>
                </m:d>
                <m:r>
                  <w:rPr>
                    <w:rFonts w:ascii="Cambria Math" w:hAnsi="Cambria Math"/>
                    <w:sz w:val="18"/>
                    <w:szCs w:val="18"/>
                  </w:rPr>
                  <m:t> </m:t>
                </m:r>
              </m:sub>
            </m:sSub>
            <w:bookmarkEnd w:id="16"/>
          </m:den>
        </m:f>
        <m:r>
          <w:rPr>
            <w:rFonts w:ascii="Cambria Math" w:hAnsi="Cambria Math"/>
            <w:sz w:val="18"/>
            <w:szCs w:val="18"/>
          </w:rPr>
          <m:t>,</m:t>
        </m:r>
      </m:oMath>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8</w:t>
      </w:r>
      <w:r w:rsidR="001A0854" w:rsidRPr="004534C9">
        <w:rPr>
          <w:sz w:val="18"/>
          <w:szCs w:val="18"/>
        </w:rPr>
        <w:fldChar w:fldCharType="end"/>
      </w:r>
      <w:r w:rsidR="001A0854" w:rsidRPr="004534C9">
        <w:rPr>
          <w:sz w:val="18"/>
          <w:szCs w:val="18"/>
        </w:rPr>
        <w:t>)</w:t>
      </w:r>
    </w:p>
    <w:p w14:paraId="4AD266BD" w14:textId="4CA7E983" w:rsidR="00F66FD5" w:rsidRPr="00F66FD5" w:rsidRDefault="00F66FD5" w:rsidP="004534C9">
      <w:pPr>
        <w:pStyle w:val="BodyText"/>
        <w:ind w:firstLine="0"/>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Correct</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t xml:space="preserve"> is the number of correct detections of terms with a detection score greater than or equal to </w:t>
      </w:r>
      <m:oMath>
        <m:r>
          <w:rPr>
            <w:rFonts w:ascii="Cambria Math" w:hAnsi="Cambria Math"/>
          </w:rPr>
          <m:t>θ</m:t>
        </m:r>
      </m:oMath>
      <w:r>
        <w:t xml:space="preserve">, </w:t>
      </w:r>
      <m:oMath>
        <m:sSub>
          <m:sSubPr>
            <m:ctrlPr>
              <w:rPr>
                <w:rFonts w:ascii="Cambria Math" w:hAnsi="Cambria Math"/>
              </w:rPr>
            </m:ctrlPr>
          </m:sSubPr>
          <m:e>
            <m:r>
              <w:rPr>
                <w:rFonts w:ascii="Cambria Math" w:hAnsi="Cambria Math"/>
              </w:rPr>
              <m:t>N</m:t>
            </m:r>
          </m:e>
          <m:sub>
            <m:r>
              <w:rPr>
                <w:rFonts w:ascii="Cambria Math" w:hAnsi="Cambria Math"/>
              </w:rPr>
              <m:t>Spurious</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F66FD5">
        <w:t xml:space="preserve"> is </w:t>
      </w:r>
      <w:r>
        <w:t xml:space="preserve">the number of incorrect detections of terms with a detection score greater than or equal to </w:t>
      </w:r>
      <m:oMath>
        <m:r>
          <w:rPr>
            <w:rFonts w:ascii="Cambria Math" w:hAnsi="Cambria Math"/>
          </w:rPr>
          <m:t>θ</m:t>
        </m:r>
      </m:oMath>
      <w:r>
        <w:t xml:space="preserve">, and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oMath>
      <w:r w:rsidRPr="00F66FD5">
        <w:t xml:space="preserve"> is </w:t>
      </w:r>
      <w:r w:rsidR="001D300B">
        <w:t xml:space="preserve">the </w:t>
      </w:r>
      <w:r w:rsidRPr="00F66FD5">
        <w:t xml:space="preserve">number of non-target trials for the term </w:t>
      </w:r>
      <m:oMath>
        <m:r>
          <w:rPr>
            <w:rFonts w:ascii="Cambria Math" w:hAnsi="Cambria Math"/>
          </w:rPr>
          <m:t>kw</m:t>
        </m:r>
      </m:oMath>
      <w:r w:rsidRPr="00F66FD5">
        <w:t xml:space="preserve"> in the data. The number of non-target trials for a term is related to the total duration of source signal in seconds,</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oMath>
      <w:r w:rsidRPr="00F66FD5">
        <w:t xml:space="preserve">, and is computed as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Ref</m:t>
            </m:r>
            <m:d>
              <m:dPr>
                <m:ctrlPr>
                  <w:rPr>
                    <w:rFonts w:ascii="Cambria Math" w:hAnsi="Cambria Math"/>
                  </w:rPr>
                </m:ctrlPr>
              </m:dPr>
              <m:e>
                <m:r>
                  <w:rPr>
                    <w:rFonts w:ascii="Cambria Math" w:hAnsi="Cambria Math"/>
                  </w:rPr>
                  <m:t>kw</m:t>
                </m:r>
              </m:e>
            </m:d>
          </m:sub>
        </m:sSub>
        <m:r>
          <m:rPr>
            <m:sty m:val="p"/>
          </m:rPr>
          <w:rPr>
            <w:rFonts w:ascii="Cambria Math" w:hAnsi="Cambria Math"/>
          </w:rPr>
          <m:t>.</m:t>
        </m:r>
      </m:oMath>
    </w:p>
    <w:p w14:paraId="04BC3F4C" w14:textId="32E27F87" w:rsidR="00F66FD5" w:rsidRDefault="00F66FD5" w:rsidP="00457169">
      <w:pPr>
        <w:pStyle w:val="BodyText"/>
        <w:ind w:firstLine="230"/>
      </w:pPr>
      <w:r>
        <w:t>A term-weighted value</w:t>
      </w:r>
      <w:r w:rsidR="001D300B">
        <w:t xml:space="preserve"> (TWV) </w:t>
      </w:r>
      <w:r>
        <w:t xml:space="preserve">is then computed that </w:t>
      </w:r>
      <w:r w:rsidR="001D300B">
        <w:t xml:space="preserve">quantifies </w:t>
      </w:r>
      <w:r>
        <w:t xml:space="preserve">a trade-off </w:t>
      </w:r>
      <w:r w:rsidR="000A26D9">
        <w:t xml:space="preserve">between </w:t>
      </w:r>
      <w:r>
        <w:t xml:space="preserve">misses and FAs. ATWV is defined as the value of TWV at the system’s chosen </w:t>
      </w:r>
      <w:r>
        <w:lastRenderedPageBreak/>
        <w:t xml:space="preserve">detection threshold. Using a predefined constant, </w:t>
      </w:r>
      <m:oMath>
        <m:r>
          <w:rPr>
            <w:rFonts w:ascii="Cambria Math" w:hAnsi="Cambria Math"/>
          </w:rPr>
          <m:t>β</m:t>
        </m:r>
      </m:oMath>
      <w:r>
        <w:t>, that was optimized</w:t>
      </w:r>
      <w:r w:rsidR="007258B5">
        <w:t xml:space="preserve"> </w:t>
      </w:r>
      <w:r>
        <w:t>experimentall</w:t>
      </w:r>
      <w:r w:rsidR="00A54859">
        <w:t>y</w:t>
      </w:r>
      <w:r w:rsidR="00457169">
        <w:t xml:space="preserve"> (</w:t>
      </w:r>
      <m:oMath>
        <m:r>
          <w:rPr>
            <w:rFonts w:ascii="Cambria Math" w:hAnsi="Cambria Math"/>
          </w:rPr>
          <m:t>β = 999.9</m:t>
        </m:r>
      </m:oMath>
      <w:r w:rsidR="00457169">
        <w:t>) </w:t>
      </w:r>
      <w:r w:rsidR="00720FCA">
        <w:fldChar w:fldCharType="begin"/>
      </w:r>
      <w:r w:rsidR="00720FCA">
        <w:instrText xml:space="preserve"> REF _Ref37179880 \n </w:instrText>
      </w:r>
      <w:r w:rsidR="00720FCA">
        <w:fldChar w:fldCharType="separate"/>
      </w:r>
      <w:r w:rsidR="00FF1B3A">
        <w:t>[23]</w:t>
      </w:r>
      <w:r w:rsidR="00720FCA">
        <w:fldChar w:fldCharType="end"/>
      </w:r>
      <w:r w:rsidR="00457169">
        <w:t xml:space="preserve">, </w:t>
      </w:r>
      <w:r>
        <w:t>ATWV is computed using:</w:t>
      </w:r>
    </w:p>
    <w:p w14:paraId="44D509E5" w14:textId="4A121408" w:rsidR="00F66FD5" w:rsidRPr="004534C9" w:rsidRDefault="00720FCA"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TWV</m:t>
            </m:r>
          </m:e>
          <m:sub>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 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oMath>
      <w:r w:rsidR="00F66FD5" w:rsidRPr="004534C9">
        <w:rPr>
          <w:rFonts w:ascii="Cambria Math" w:hAnsi="Cambria Math"/>
          <w:i/>
          <w:iCs/>
          <w:sz w:val="18"/>
          <w:szCs w:val="18"/>
        </w:rPr>
        <w:tab/>
      </w:r>
      <w:r w:rsidR="001A0854" w:rsidRPr="004534C9">
        <w:rPr>
          <w:rFonts w:ascii="Cambria Math" w:hAnsi="Cambria Math"/>
          <w:sz w:val="18"/>
          <w:szCs w:val="18"/>
        </w:rPr>
        <w:t>(</w:t>
      </w:r>
      <w:r w:rsidR="001A0854" w:rsidRPr="004534C9">
        <w:rPr>
          <w:rFonts w:ascii="Cambria Math" w:hAnsi="Cambria Math"/>
          <w:sz w:val="18"/>
          <w:szCs w:val="18"/>
        </w:rPr>
        <w:fldChar w:fldCharType="begin"/>
      </w:r>
      <w:r w:rsidR="001A0854" w:rsidRPr="004534C9">
        <w:rPr>
          <w:rFonts w:ascii="Cambria Math" w:hAnsi="Cambria Math"/>
          <w:sz w:val="18"/>
          <w:szCs w:val="18"/>
        </w:rPr>
        <w:instrText xml:space="preserve"> SEQ Equation \* ARABIC </w:instrText>
      </w:r>
      <w:r w:rsidR="001A0854" w:rsidRPr="004534C9">
        <w:rPr>
          <w:rFonts w:ascii="Cambria Math" w:hAnsi="Cambria Math"/>
          <w:sz w:val="18"/>
          <w:szCs w:val="18"/>
        </w:rPr>
        <w:fldChar w:fldCharType="separate"/>
      </w:r>
      <w:r w:rsidR="00FF1B3A">
        <w:rPr>
          <w:rFonts w:ascii="Cambria Math" w:hAnsi="Cambria Math"/>
          <w:noProof/>
          <w:sz w:val="18"/>
          <w:szCs w:val="18"/>
        </w:rPr>
        <w:t>9</w:t>
      </w:r>
      <w:r w:rsidR="001A0854" w:rsidRPr="004534C9">
        <w:rPr>
          <w:rFonts w:ascii="Cambria Math" w:hAnsi="Cambria Math"/>
          <w:sz w:val="18"/>
          <w:szCs w:val="18"/>
        </w:rPr>
        <w:fldChar w:fldCharType="end"/>
      </w:r>
      <w:r w:rsidR="001A0854" w:rsidRPr="004534C9">
        <w:rPr>
          <w:rFonts w:ascii="Cambria Math" w:hAnsi="Cambria Math"/>
          <w:sz w:val="18"/>
          <w:szCs w:val="18"/>
        </w:rPr>
        <w:t>)</w:t>
      </w:r>
    </w:p>
    <w:p w14:paraId="6A566C81" w14:textId="0D141D72" w:rsidR="00457169" w:rsidRDefault="00F66FD5" w:rsidP="00457169">
      <w:pPr>
        <w:pStyle w:val="BodyText"/>
        <w:ind w:firstLine="0"/>
      </w:pPr>
      <w:r>
        <w:t xml:space="preserve">A standard implementation of this approach is available </w:t>
      </w:r>
      <w:r w:rsidR="001D300B">
        <w:t>from NIST via GitHub </w:t>
      </w:r>
      <w:r w:rsidR="00720FCA">
        <w:fldChar w:fldCharType="begin"/>
      </w:r>
      <w:r w:rsidR="00720FCA">
        <w:instrText xml:space="preserve"> REF _Ref37169086 \n </w:instrText>
      </w:r>
      <w:r w:rsidR="00720FCA">
        <w:fldChar w:fldCharType="separate"/>
      </w:r>
      <w:r w:rsidR="00FF1B3A">
        <w:t>[35]</w:t>
      </w:r>
      <w:r w:rsidR="00720FCA">
        <w:fldChar w:fldCharType="end"/>
      </w:r>
      <w:r>
        <w:t>.</w:t>
      </w:r>
    </w:p>
    <w:p w14:paraId="2B1BD1B1" w14:textId="4563A01D" w:rsidR="005137B7" w:rsidRPr="00F66FD5" w:rsidRDefault="00F66FD5" w:rsidP="00E21091">
      <w:pPr>
        <w:pStyle w:val="BodyText"/>
        <w:widowControl w:val="0"/>
        <w:ind w:firstLine="230"/>
      </w:pPr>
      <w:r>
        <w:t xml:space="preserve">This metric has been widely used throughout the human language technology community for </w:t>
      </w:r>
      <w:r w:rsidR="00B51A73">
        <w:t>almost 20 </w:t>
      </w:r>
      <w:r>
        <w:t xml:space="preserve">years. This is a very important consideration in standardizing such a metric </w:t>
      </w:r>
      <w:r>
        <w:softHyphen/>
        <w:t xml:space="preserve">– researchers are using a common shared software implementation that ensures there are no subtle implementation differences </w:t>
      </w:r>
      <w:r w:rsidR="00B51A73">
        <w:t xml:space="preserve">in scoring software implementation </w:t>
      </w:r>
      <w:r>
        <w:t>between sites or researchers.</w:t>
      </w:r>
      <w:r w:rsidR="00B51A73">
        <w:t xml:space="preserve"> There are always numerous parameters associated with this type of software and the only ways to make sure algorithms are producing identical results are (1) the existence of a common (open source) software package or (2) the distribution of a detailed set of regression tests that establish the equivalency of the implementations.</w:t>
      </w:r>
      <w:r w:rsidR="00C01A47">
        <w:t xml:space="preserve"> The former has been a standard methodology for 40 years in the human language technology community, but the bioengineering communities have not quite</w:t>
      </w:r>
      <w:r w:rsidR="00770A1A">
        <w:t xml:space="preserve"> </w:t>
      </w:r>
      <w:r w:rsidR="00C01A47">
        <w:t>achieved this level of standardization yet.</w:t>
      </w:r>
    </w:p>
    <w:p w14:paraId="06226D15" w14:textId="57BA57A8" w:rsidR="00F66FD5" w:rsidRPr="00F66FD5" w:rsidRDefault="00F66FD5" w:rsidP="00C01A47">
      <w:pPr>
        <w:pStyle w:val="BodyText"/>
        <w:widowControl w:val="0"/>
        <w:ind w:firstLine="230"/>
      </w:pPr>
      <w:r>
        <w:t xml:space="preserve">To demonstrate the features of this approach, consider the case shown in </w:t>
      </w:r>
      <w:r w:rsidR="00720FCA">
        <w:fldChar w:fldCharType="begin"/>
      </w:r>
      <w:r w:rsidR="00720FCA">
        <w:instrText xml:space="preserve"> REF _Ref499071678  \* MERGEFORMAT </w:instrText>
      </w:r>
      <w:r w:rsidR="00720FCA">
        <w:fldChar w:fldCharType="separate"/>
      </w:r>
      <w:r w:rsidR="00FF1B3A" w:rsidRPr="00E91D8D">
        <w:t>Figure 3</w:t>
      </w:r>
      <w:r w:rsidR="00720FCA">
        <w:fldChar w:fldCharType="end"/>
      </w:r>
      <w:r>
        <w:t xml:space="preserve">. The hypothesis for this segment consists of several short seizure events while the reference consists of one long event. The ATWV metric will assign a TP score of </w:t>
      </w:r>
      <m:oMath>
        <m:r>
          <w:rPr>
            <w:rFonts w:ascii="Cambria Math" w:hAnsi="Cambria Math"/>
          </w:rPr>
          <m:t>100%</m:t>
        </m:r>
      </m:oMath>
      <w:r w:rsidRPr="00F66FD5">
        <w:t xml:space="preserve"> because the midpoint of the first event in the hypothesis annotation is mapped to the long seizure event in the reference annotation. </w:t>
      </w:r>
      <w:r>
        <w:t xml:space="preserve">This is somewhat generous given that </w:t>
      </w:r>
      <m:oMath>
        <m:r>
          <w:rPr>
            <w:rFonts w:ascii="Cambria Math" w:hAnsi="Cambria Math"/>
          </w:rPr>
          <m:t>50%</m:t>
        </m:r>
      </m:oMath>
      <w:r>
        <w:t xml:space="preserve"> of the event was not detected. The remaining </w:t>
      </w:r>
      <m:oMath>
        <m:r>
          <w:rPr>
            <w:rFonts w:ascii="Cambria Math" w:hAnsi="Cambria Math"/>
          </w:rPr>
          <m:t>5</m:t>
        </m:r>
      </m:oMath>
      <w:r>
        <w:t xml:space="preserve"> events in the hypothesis annotation are counted as false positives. The ATWV metric is relatively insensitive to the duration of the reference event, though the </w:t>
      </w:r>
      <m:oMath>
        <m:r>
          <w:rPr>
            <w:rFonts w:ascii="Cambria Math" w:hAnsi="Cambria Math"/>
          </w:rPr>
          <m:t>5</m:t>
        </m:r>
      </m:oMath>
      <w:r>
        <w:t xml:space="preserve"> false positives will lower the overall performance of the system. The important issue here is that the hypothesis correctly detected about </w:t>
      </w:r>
      <m:oMath>
        <m:r>
          <w:rPr>
            <w:rFonts w:ascii="Cambria Math" w:hAnsi="Cambria Math"/>
          </w:rPr>
          <m:t>70%</m:t>
        </m:r>
      </m:oMath>
      <w:r>
        <w:t xml:space="preserve"> of the seizure event, and yet because of the large number of false positives, it will be penalized heavily. </w:t>
      </w:r>
    </w:p>
    <w:p w14:paraId="71BF68D0" w14:textId="3CBA34C0" w:rsidR="00F66FD5" w:rsidRPr="00F66FD5" w:rsidRDefault="00F66FD5" w:rsidP="00F66FD5">
      <w:pPr>
        <w:pStyle w:val="BodyText"/>
      </w:pPr>
      <w:r>
        <w:t xml:space="preserve">In </w:t>
      </w:r>
      <w:r w:rsidR="00720FCA">
        <w:fldChar w:fldCharType="begin"/>
      </w:r>
      <w:r w:rsidR="00720FCA">
        <w:instrText xml:space="preserve"> REF _Ref497422356 \* mergeformat</w:instrText>
      </w:r>
      <w:r w:rsidR="00720FCA">
        <w:fldChar w:fldCharType="separate"/>
      </w:r>
      <w:r w:rsidR="00FF1B3A" w:rsidRPr="00E91D8D">
        <w:t>Figure 4</w:t>
      </w:r>
      <w:r w:rsidR="00720FCA">
        <w:fldChar w:fldCharType="end"/>
      </w:r>
      <w:r>
        <w:t xml:space="preserve"> we demonstrate a similar case in which the metric penalizes the hypothesis for missing three seizure events in the reference. Approximately </w:t>
      </w:r>
      <m:oMath>
        <m:r>
          <w:rPr>
            <w:rFonts w:ascii="Cambria Math" w:hAnsi="Cambria Math"/>
          </w:rPr>
          <m:t>50%</m:t>
        </m:r>
      </m:oMath>
      <w:r>
        <w:t xml:space="preserve"> of the segment is correctly identified. </w:t>
      </w:r>
      <w:r w:rsidR="00BA69CF">
        <w:t>S</w:t>
      </w:r>
      <w:r>
        <w:t xml:space="preserve">coring </w:t>
      </w:r>
      <w:r w:rsidR="00BA69CF">
        <w:t xml:space="preserve">that </w:t>
      </w:r>
      <w:r>
        <w:t>penaliz</w:t>
      </w:r>
      <w:r w:rsidR="00BA69CF">
        <w:t xml:space="preserve">es </w:t>
      </w:r>
      <w:r>
        <w:t>repeated events that are part of a larger event in the reference make</w:t>
      </w:r>
      <w:r w:rsidR="00BA69CF">
        <w:t>s</w:t>
      </w:r>
      <w:r>
        <w:t xml:space="preserve"> sense in an application like voice keyword search because in human language each word hypothesis serves a unique purpose in the overall understanding of the signal. However, for a two-class event detection problem such as seizure detection, such scoring too heavily penalizes </w:t>
      </w:r>
      <w:r w:rsidR="00BA69CF">
        <w:t xml:space="preserve">a </w:t>
      </w:r>
      <w:r>
        <w:t>hypothesis for splitting a long event into a series of short events.</w:t>
      </w:r>
    </w:p>
    <w:p w14:paraId="468ECE0B" w14:textId="34270B2F" w:rsidR="005F55DC" w:rsidRDefault="00F66FD5" w:rsidP="0083510A">
      <w:pPr>
        <w:pStyle w:val="heading2"/>
      </w:pPr>
      <w:bookmarkStart w:id="17" w:name="_Ref5798428"/>
      <w:r>
        <w:t>Dynamic Programming Alignment (DPALIGN)</w:t>
      </w:r>
      <w:bookmarkEnd w:id="17"/>
    </w:p>
    <w:p w14:paraId="7C0A672D" w14:textId="04CC2AD7" w:rsidR="00F66FD5" w:rsidRDefault="00F66FD5" w:rsidP="004534C9">
      <w:pPr>
        <w:pStyle w:val="BodyText"/>
        <w:ind w:firstLine="230"/>
      </w:pPr>
      <w:r>
        <w:t>The DPALIGN metric essentially performs a minimization of an edit distance (the Levenshtein distance)</w:t>
      </w:r>
      <w:r w:rsidR="00C01A47">
        <w:t> </w:t>
      </w:r>
      <w:r w:rsidR="00720FCA">
        <w:fldChar w:fldCharType="begin"/>
      </w:r>
      <w:r w:rsidR="00720FCA">
        <w:instrText xml:space="preserve"> REF _Ref37058527 \n </w:instrText>
      </w:r>
      <w:r w:rsidR="00720FCA">
        <w:fldChar w:fldCharType="separate"/>
      </w:r>
      <w:r w:rsidR="00FF1B3A">
        <w:t>[12]</w:t>
      </w:r>
      <w:r w:rsidR="00720FCA">
        <w:fldChar w:fldCharType="end"/>
      </w:r>
      <w:r w:rsidR="00C01A47">
        <w:t xml:space="preserve"> </w:t>
      </w:r>
      <w:r>
        <w:t>to map the hypothesis onto the reference. DPALIGN determines the minimum number of edits required to transform the hypothesis string into the</w:t>
      </w:r>
      <w:r w:rsidR="00087013">
        <w:t xml:space="preserve"> </w:t>
      </w:r>
      <w:r>
        <w:t xml:space="preserve">reference string. Given two strings, the source string </w:t>
      </w:r>
      <m:oMath>
        <m:r>
          <w:rPr>
            <w:rFonts w:ascii="Cambria Math" w:hAnsi="Cambria Math"/>
          </w:rPr>
          <m:t>X =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t xml:space="preserve"> of length</w:t>
      </w:r>
      <w:r w:rsidR="00C01A47">
        <w:t xml:space="preserve"> </w:t>
      </w:r>
      <m:oMath>
        <m:r>
          <w:rPr>
            <w:rFonts w:ascii="Cambria Math" w:hAnsi="Cambria Math"/>
            <w:vertAlign w:val="subscript"/>
          </w:rPr>
          <m:t>n</m:t>
        </m:r>
      </m:oMath>
      <w:r>
        <w:t xml:space="preserve">, </w:t>
      </w:r>
      <w:r w:rsidR="00BA69CF">
        <w:rPr>
          <w:noProof/>
          <w:sz w:val="24"/>
          <w:szCs w:val="24"/>
        </w:rPr>
        <w:lastRenderedPageBreak/>
        <mc:AlternateContent>
          <mc:Choice Requires="wps">
            <w:drawing>
              <wp:anchor distT="137160" distB="137160" distL="137160" distR="137160" simplePos="0" relativeHeight="251663360" behindDoc="0" locked="0" layoutInCell="1" allowOverlap="0" wp14:anchorId="41CC033C" wp14:editId="793EC967">
                <wp:simplePos x="0" y="0"/>
                <wp:positionH relativeFrom="margin">
                  <wp:align>center</wp:align>
                </wp:positionH>
                <wp:positionV relativeFrom="margin">
                  <wp:align>top</wp:align>
                </wp:positionV>
                <wp:extent cx="4389120" cy="24963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96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DB7B" w14:textId="5607D052" w:rsidR="00FF1B3A" w:rsidRDefault="00FF1B3A" w:rsidP="004534C9">
                            <w:pPr>
                              <w:spacing w:after="120"/>
                              <w:ind w:firstLine="0"/>
                              <w:jc w:val="center"/>
                              <w:rPr>
                                <w:b/>
                                <w:bCs/>
                              </w:rPr>
                            </w:pPr>
                            <w:bookmarkStart w:id="18" w:name="_Ref482455588"/>
                            <w:bookmarkStart w:id="19" w:name="_Ref481422318"/>
                            <w:bookmarkStart w:id="20"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21" w:name="_Ref499071678"/>
                            <w:r w:rsidRPr="006B1D14">
                              <w:rPr>
                                <w:b/>
                                <w:bCs/>
                                <w:sz w:val="18"/>
                                <w:szCs w:val="18"/>
                              </w:rPr>
                              <w:t>Figure</w:t>
                            </w:r>
                            <w:r>
                              <w:rPr>
                                <w:b/>
                                <w:bCs/>
                                <w:sz w:val="18"/>
                                <w:szCs w:val="18"/>
                              </w:rPr>
                              <w:t> </w:t>
                            </w:r>
                            <w:bookmarkStart w:id="22"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18"/>
                            <w:bookmarkEnd w:id="21"/>
                            <w:bookmarkEnd w:id="22"/>
                            <w:r w:rsidRPr="006B1D14">
                              <w:rPr>
                                <w:b/>
                                <w:bCs/>
                                <w:sz w:val="18"/>
                                <w:szCs w:val="18"/>
                              </w:rPr>
                              <w:t>.</w:t>
                            </w:r>
                            <w:bookmarkEnd w:id="19"/>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20"/>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23" w:name="_Ref497422356"/>
                            <w:bookmarkStart w:id="24" w:name="_Ref498384145"/>
                            <w:r w:rsidRPr="006B1D14">
                              <w:rPr>
                                <w:b/>
                                <w:bCs/>
                                <w:sz w:val="18"/>
                                <w:szCs w:val="18"/>
                              </w:rPr>
                              <w:t>Figure</w:t>
                            </w:r>
                            <w:r>
                              <w:rPr>
                                <w:b/>
                                <w:bCs/>
                                <w:sz w:val="18"/>
                                <w:szCs w:val="18"/>
                              </w:rPr>
                              <w:t> </w:t>
                            </w:r>
                            <w:bookmarkStart w:id="25"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23"/>
                            <w:bookmarkEnd w:id="25"/>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2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033C" id="Text Box 8" o:spid="_x0000_s1028" type="#_x0000_t202" style="position:absolute;left:0;text-align:left;margin-left:0;margin-top:0;width:345.6pt;height:196.55pt;z-index:2516633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" o:allowoverlap="f" stroked="f">
                <v:textbox inset="0,0,0,0">
                  <w:txbxContent>
                    <w:p w14:paraId="07EADB7B" w14:textId="5607D052" w:rsidR="00FF1B3A" w:rsidRDefault="00FF1B3A" w:rsidP="004534C9">
                      <w:pPr>
                        <w:spacing w:after="120"/>
                        <w:ind w:firstLine="0"/>
                        <w:jc w:val="center"/>
                        <w:rPr>
                          <w:b/>
                          <w:bCs/>
                        </w:rPr>
                      </w:pPr>
                      <w:bookmarkStart w:id="354" w:name="_Ref482455588"/>
                      <w:bookmarkStart w:id="355" w:name="_Ref481422318"/>
                      <w:bookmarkStart w:id="356"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357" w:name="_Ref499071678"/>
                      <w:r w:rsidRPr="006B1D14">
                        <w:rPr>
                          <w:b/>
                          <w:bCs/>
                          <w:sz w:val="18"/>
                          <w:szCs w:val="18"/>
                        </w:rPr>
                        <w:t>Figure</w:t>
                      </w:r>
                      <w:r>
                        <w:rPr>
                          <w:b/>
                          <w:bCs/>
                          <w:sz w:val="18"/>
                          <w:szCs w:val="18"/>
                        </w:rPr>
                        <w:t> </w:t>
                      </w:r>
                      <w:bookmarkStart w:id="358"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354"/>
                      <w:bookmarkEnd w:id="357"/>
                      <w:bookmarkEnd w:id="358"/>
                      <w:r w:rsidRPr="006B1D14">
                        <w:rPr>
                          <w:b/>
                          <w:bCs/>
                          <w:sz w:val="18"/>
                          <w:szCs w:val="18"/>
                        </w:rPr>
                        <w:t>.</w:t>
                      </w:r>
                      <w:bookmarkEnd w:id="355"/>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356"/>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359" w:name="_Ref497422356"/>
                      <w:bookmarkStart w:id="360" w:name="_Ref498384145"/>
                      <w:r w:rsidRPr="006B1D14">
                        <w:rPr>
                          <w:b/>
                          <w:bCs/>
                          <w:sz w:val="18"/>
                          <w:szCs w:val="18"/>
                        </w:rPr>
                        <w:t>Figure</w:t>
                      </w:r>
                      <w:r>
                        <w:rPr>
                          <w:b/>
                          <w:bCs/>
                          <w:sz w:val="18"/>
                          <w:szCs w:val="18"/>
                        </w:rPr>
                        <w:t> </w:t>
                      </w:r>
                      <w:bookmarkStart w:id="361"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359"/>
                      <w:bookmarkEnd w:id="361"/>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360"/>
                    </w:p>
                  </w:txbxContent>
                </v:textbox>
                <w10:wrap type="square" anchorx="margin" anchory="margin"/>
              </v:shape>
            </w:pict>
          </mc:Fallback>
        </mc:AlternateContent>
      </w:r>
      <w:r>
        <w:t xml:space="preserve">and target string </w:t>
      </w:r>
      <m:oMath>
        <m:r>
          <w:rPr>
            <w:rFonts w:ascii="Cambria Math" w:hAnsi="Cambria Math"/>
          </w:rPr>
          <m:t>Y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t xml:space="preserve">  of length </w:t>
      </w:r>
      <m:oMath>
        <m:r>
          <w:rPr>
            <w:rFonts w:ascii="Cambria Math" w:hAnsi="Cambria Math"/>
          </w:rPr>
          <m:t>m</m:t>
        </m:r>
      </m:oMath>
      <w:r>
        <w:t xml:space="preserve">, we define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t xml:space="preserve">, which is the edit distance between the substring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 as:</w:t>
      </w:r>
    </w:p>
    <w:p w14:paraId="36252FB2" w14:textId="4E867D4B" w:rsidR="00F66FD5" w:rsidRPr="004534C9" w:rsidRDefault="00F66FD5" w:rsidP="004534C9">
      <w:pPr>
        <w:pStyle w:val="Equation"/>
        <w:tabs>
          <w:tab w:val="right" w:pos="6918"/>
        </w:tabs>
        <w:ind w:left="187"/>
        <w:rPr>
          <w:rFonts w:ascii="Cambria Math" w:hAnsi="Cambria Math"/>
          <w:i/>
          <w:iCs/>
          <w:sz w:val="18"/>
          <w:szCs w:val="18"/>
        </w:rPr>
      </w:pPr>
      <w:r w:rsidRPr="004534C9">
        <w:rPr>
          <w:rFonts w:ascii="Cambria Math" w:hAnsi="Cambria Math"/>
          <w:i/>
          <w:iCs/>
          <w:sz w:val="18"/>
          <w:szCs w:val="18"/>
        </w:rPr>
        <w:t xml:space="preserve"> </w:t>
      </w:r>
      <w:bookmarkStart w:id="26" w:name="_Ref37169823"/>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d>
          <m:dPr>
            <m:begChr m:val="{"/>
            <m:endChr m:val=""/>
            <m:ctrlPr>
              <w:rPr>
                <w:rFonts w:ascii="Cambria Math" w:hAnsi="Cambria Math"/>
                <w:i/>
                <w:iCs/>
                <w:sz w:val="18"/>
                <w:szCs w:val="18"/>
              </w:rPr>
            </m:ctrlPr>
          </m:dPr>
          <m:e>
            <m:m>
              <m:mPr>
                <m:cGp m:val="8"/>
                <m:mcs>
                  <m:mc>
                    <m:mcPr>
                      <m:count m:val="1"/>
                      <m:mcJc m:val="left"/>
                    </m:mcPr>
                  </m:mc>
                </m:mcs>
                <m:ctrlPr>
                  <w:rPr>
                    <w:rFonts w:ascii="Cambria Math" w:hAnsi="Cambria Math"/>
                    <w:i/>
                    <w:iCs/>
                    <w:sz w:val="18"/>
                    <w:szCs w:val="18"/>
                  </w:rPr>
                </m:ctrlPr>
              </m:mP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m:t>
                      </m:r>
                    </m:sub>
                  </m:sSub>
                  <m:r>
                    <w:rPr>
                      <w:rFonts w:ascii="Cambria Math" w:hAnsi="Cambria Math"/>
                      <w:sz w:val="18"/>
                      <w:szCs w:val="18"/>
                    </w:rPr>
                    <m:t>+del</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i,j-1</m:t>
                      </m:r>
                    </m:sub>
                  </m:sSub>
                  <m:r>
                    <w:rPr>
                      <w:rFonts w:ascii="Cambria Math" w:hAnsi="Cambria Math"/>
                      <w:sz w:val="18"/>
                      <w:szCs w:val="18"/>
                    </w:rPr>
                    <m:t>+ins</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i-1,j-1</m:t>
                      </m:r>
                    </m:sub>
                  </m:sSub>
                  <m:r>
                    <w:rPr>
                      <w:rFonts w:ascii="Cambria Math" w:hAnsi="Cambria Math"/>
                      <w:sz w:val="18"/>
                      <w:szCs w:val="18"/>
                    </w:rPr>
                    <m:t>+sub</m:t>
                  </m:r>
                </m:e>
              </m:mr>
            </m:m>
          </m:e>
        </m:d>
        <m:r>
          <w:rPr>
            <w:rFonts w:ascii="Cambria Math" w:hAnsi="Cambria Math"/>
            <w:sz w:val="18"/>
            <w:szCs w:val="18"/>
          </w:rPr>
          <m:t> .</m:t>
        </m:r>
      </m:oMath>
      <w:r w:rsidRPr="004534C9">
        <w:rPr>
          <w:rFonts w:ascii="Cambria Math" w:hAnsi="Cambria Math"/>
          <w:i/>
          <w:iCs/>
          <w:sz w:val="18"/>
          <w:szCs w:val="18"/>
        </w:rPr>
        <w:tab/>
      </w:r>
      <w:r w:rsidR="00F01812" w:rsidRPr="004534C9">
        <w:rPr>
          <w:sz w:val="18"/>
          <w:szCs w:val="18"/>
        </w:rPr>
        <w:t>(</w:t>
      </w:r>
      <w:r w:rsidR="00F01812" w:rsidRPr="004534C9">
        <w:rPr>
          <w:sz w:val="18"/>
          <w:szCs w:val="18"/>
        </w:rPr>
        <w:fldChar w:fldCharType="begin"/>
      </w:r>
      <w:r w:rsidR="00F01812" w:rsidRPr="004534C9">
        <w:rPr>
          <w:sz w:val="18"/>
          <w:szCs w:val="18"/>
        </w:rPr>
        <w:instrText xml:space="preserve"> SEQ Equation \* ARABIC </w:instrText>
      </w:r>
      <w:r w:rsidR="00F01812" w:rsidRPr="004534C9">
        <w:rPr>
          <w:sz w:val="18"/>
          <w:szCs w:val="18"/>
        </w:rPr>
        <w:fldChar w:fldCharType="separate"/>
      </w:r>
      <w:r w:rsidR="00FF1B3A">
        <w:rPr>
          <w:noProof/>
          <w:sz w:val="18"/>
          <w:szCs w:val="18"/>
        </w:rPr>
        <w:t>10</w:t>
      </w:r>
      <w:r w:rsidR="00F01812" w:rsidRPr="004534C9">
        <w:rPr>
          <w:sz w:val="18"/>
          <w:szCs w:val="18"/>
        </w:rPr>
        <w:fldChar w:fldCharType="end"/>
      </w:r>
      <w:r w:rsidR="00F01812" w:rsidRPr="004534C9">
        <w:rPr>
          <w:sz w:val="18"/>
          <w:szCs w:val="18"/>
        </w:rPr>
        <w:t>)</w:t>
      </w:r>
      <w:bookmarkEnd w:id="26"/>
    </w:p>
    <w:p w14:paraId="2F56FFEC" w14:textId="79D26EA3" w:rsidR="005137B7" w:rsidRPr="00F66FD5" w:rsidRDefault="00F66FD5" w:rsidP="004534C9">
      <w:pPr>
        <w:pStyle w:val="BodyText"/>
        <w:ind w:firstLine="0"/>
      </w:pPr>
      <w:r>
        <w:t xml:space="preserve">The quantities being measured here are often referred to as substitution (sub), insertion (ins) and deletion (del) penalties. For this study, these three penalties are assigned equal weights of </w:t>
      </w:r>
      <m:oMath>
        <m:r>
          <w:rPr>
            <w:rFonts w:ascii="Cambria Math" w:hAnsi="Cambria Math"/>
          </w:rPr>
          <m:t>1.0</m:t>
        </m:r>
      </m:oMath>
      <w:r>
        <w:t xml:space="preserve">.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726C741B" w14:textId="70848504" w:rsidR="00CF5598" w:rsidRDefault="00B31BA8" w:rsidP="00F66FD5">
      <w:pPr>
        <w:pStyle w:val="BodyText"/>
      </w:pPr>
      <w:r>
        <w:rPr>
          <w:noProof/>
          <w:sz w:val="24"/>
          <w:szCs w:val="24"/>
        </w:rPr>
        <mc:AlternateContent>
          <mc:Choice Requires="wps">
            <w:drawing>
              <wp:anchor distT="137160" distB="137160" distL="137160" distR="137160" simplePos="0" relativeHeight="251665408" behindDoc="0" locked="0" layoutInCell="1" allowOverlap="0" wp14:anchorId="1F5A7D0E" wp14:editId="694EC6E8">
                <wp:simplePos x="0" y="0"/>
                <wp:positionH relativeFrom="margin">
                  <wp:align>center</wp:align>
                </wp:positionH>
                <wp:positionV relativeFrom="margin">
                  <wp:align>bottom</wp:align>
                </wp:positionV>
                <wp:extent cx="4379976" cy="1380744"/>
                <wp:effectExtent l="0" t="0" r="1905"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38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Hyp: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 xml:space="preserve">Hyp: bckg seiz SEIZ SEIZ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27"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27"/>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7D0E" id="Text Box 9" o:spid="_x0000_s1029" type="#_x0000_t202" style="position:absolute;left:0;text-align:left;margin-left:0;margin-top:0;width:344.9pt;height:108.7pt;z-index:25166540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" o:allowoverlap="f" stroked="f">
                <v:textbox inset="0,0,0,0">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bckg seiz SEIZ SEIZ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381"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381"/>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v:textbox>
                <w10:wrap type="square" anchorx="margin" anchory="margin"/>
              </v:shape>
            </w:pict>
          </mc:Fallback>
        </mc:AlternateContent>
      </w:r>
      <w:r w:rsidR="00F66FD5">
        <w:t xml:space="preserve">The metric is best demonstrated using the two examples shown in </w:t>
      </w:r>
      <w:r w:rsidR="00720FCA">
        <w:fldChar w:fldCharType="begin"/>
      </w:r>
      <w:r w:rsidR="00720FCA">
        <w:instrText xml:space="preserve"> REF _Ref533707104 \* mergeformat</w:instrText>
      </w:r>
      <w:r w:rsidR="00720FCA">
        <w:fldChar w:fldCharType="separate"/>
      </w:r>
      <w:r w:rsidR="00FF1B3A" w:rsidRPr="00E91D8D">
        <w:t>Figure 5</w:t>
      </w:r>
      <w:r w:rsidR="00720FCA">
        <w:fldChar w:fldCharType="end"/>
      </w:r>
      <w:r w:rsidR="00F66FD5">
        <w:t xml:space="preserve">. In the first example, the reference annotation has a series of </w:t>
      </w:r>
      <m:oMath>
        <m:r>
          <w:rPr>
            <w:rFonts w:ascii="Cambria Math" w:hAnsi="Cambria Math"/>
          </w:rPr>
          <m:t>7</m:t>
        </m:r>
      </m:oMath>
      <w:r w:rsidR="00F66FD5">
        <w:t xml:space="preserve"> events, while the hypothesis contains </w:t>
      </w:r>
      <m:oMath>
        <m:r>
          <w:rPr>
            <w:rFonts w:ascii="Cambria Math" w:hAnsi="Cambria Math"/>
          </w:rPr>
          <m:t>5</m:t>
        </m:r>
      </m:oMath>
      <w:r w:rsidR="002E01D8">
        <w:t xml:space="preserve"> event</w:t>
      </w:r>
      <w:r w:rsidR="009F128A">
        <w:t xml:space="preserve">s. </w:t>
      </w:r>
      <w:r w:rsidR="00AE5C79">
        <w:t>T</w:t>
      </w:r>
      <w:r w:rsidR="00FE545F">
        <w:t xml:space="preserve">he hypothesis </w:t>
      </w:r>
      <w:r w:rsidR="00AE5C79">
        <w:t xml:space="preserve">substitutes </w:t>
      </w:r>
      <w:r w:rsidR="009F128A">
        <w:t xml:space="preserve">background for the second seizure event, omits the third seizure event and the last background event. Hence, there are a total of </w:t>
      </w:r>
      <w:r w:rsidR="009F128A">
        <w:lastRenderedPageBreak/>
        <w:t>three errors</w:t>
      </w:r>
      <w:r w:rsidR="00CF5598">
        <w:t>: two deletions and one substitution</w:t>
      </w:r>
      <w:r w:rsidR="009F128A">
        <w:t>.</w:t>
      </w:r>
      <w:r w:rsidR="009F128A" w:rsidRPr="009F128A">
        <w:t xml:space="preserve"> </w:t>
      </w:r>
      <w:r w:rsidR="009F128A">
        <w:t xml:space="preserve">In the second example, the reference annotation and hypothesis have been swapped to demonstrate the symmetry of the error calculations. The hypothesis generated </w:t>
      </w:r>
      <w:r w:rsidR="00CF5598">
        <w:t>two insertions and one substitution.</w:t>
      </w:r>
    </w:p>
    <w:p w14:paraId="0531AA7C" w14:textId="76866440" w:rsidR="0083510A" w:rsidRDefault="0014097E" w:rsidP="00F558F2">
      <w:pPr>
        <w:pStyle w:val="BodyText"/>
      </w:pPr>
      <w:r>
        <w:t xml:space="preserve">In practice, </w:t>
      </w:r>
      <w:r w:rsidR="00CF5598">
        <w:t>there are often multiple alignments that makes sense based only on the labels</w:t>
      </w:r>
      <w:r w:rsidR="006926F2">
        <w:t xml:space="preserve"> associated with the </w:t>
      </w:r>
      <w:r w:rsidR="00BA69CF">
        <w:t>annotations</w:t>
      </w:r>
      <w:r w:rsidR="00CF5598">
        <w:t>. A</w:t>
      </w:r>
      <w:r>
        <w:t xml:space="preserve">s long as the algorithm is consistent about </w:t>
      </w:r>
      <w:r w:rsidR="00CF5598">
        <w:t>its choices</w:t>
      </w:r>
      <w:r>
        <w:t xml:space="preserve">, scoring will </w:t>
      </w:r>
      <w:r w:rsidR="00CF5598">
        <w:t>be fine. T</w:t>
      </w:r>
      <w:r>
        <w:t xml:space="preserve">o accurately resolve such </w:t>
      </w:r>
      <w:r w:rsidR="00CF5598">
        <w:t xml:space="preserve">ambiguities, </w:t>
      </w:r>
      <w:r>
        <w:t xml:space="preserve">the actual endpoints of the hypotheses must be </w:t>
      </w:r>
      <w:r w:rsidR="00CF5598">
        <w:t>compared to the endpoints in the reference annotations</w:t>
      </w:r>
      <w:r>
        <w:t>. NIST distributes the ability to score this way</w:t>
      </w:r>
      <w:r w:rsidR="00CF5598">
        <w:t xml:space="preserve">, often referred to as time-aligned scoring, </w:t>
      </w:r>
      <w:r>
        <w:t>in their open source package </w:t>
      </w:r>
      <w:r w:rsidR="00720FCA">
        <w:fldChar w:fldCharType="begin"/>
      </w:r>
      <w:r w:rsidR="00720FCA">
        <w:instrText xml:space="preserve"> REF _Ref37169086 \n </w:instrText>
      </w:r>
      <w:r w:rsidR="00720FCA">
        <w:fldChar w:fldCharType="separate"/>
      </w:r>
      <w:r w:rsidR="00FF1B3A">
        <w:t>[35]</w:t>
      </w:r>
      <w:r w:rsidR="00720FCA">
        <w:fldChar w:fldCharType="end"/>
      </w:r>
      <w:r w:rsidR="00CF5598">
        <w:t>. B</w:t>
      </w:r>
      <w:r>
        <w:t>ut this scoring mode is a little more complicated from a data interfac</w:t>
      </w:r>
      <w:r w:rsidR="00BA69CF">
        <w:t xml:space="preserve">e </w:t>
      </w:r>
      <w:r>
        <w:t>point of view and has not been as popular.</w:t>
      </w:r>
      <w:r w:rsidR="00BA69CF">
        <w:t xml:space="preserve"> </w:t>
      </w:r>
      <w:r w:rsidR="00F66FD5">
        <w:t>Though this type of scoring might at first seem highly inaccurate since it ignores time alignments of the hypotheses, it has been surprisingly effective in scoring machine learning systems in sequential data applications (e.g., speech recognition) </w:t>
      </w:r>
      <w:r w:rsidR="00720FCA">
        <w:fldChar w:fldCharType="begin"/>
      </w:r>
      <w:r w:rsidR="00720FCA">
        <w:instrText xml:space="preserve"> REF _Ref37058527 \n </w:instrText>
      </w:r>
      <w:r w:rsidR="00720FCA">
        <w:fldChar w:fldCharType="separate"/>
      </w:r>
      <w:r w:rsidR="00FF1B3A">
        <w:t>[12]</w:t>
      </w:r>
      <w:r w:rsidR="00720FCA">
        <w:fldChar w:fldCharType="end"/>
      </w:r>
      <w:r w:rsidR="00720FCA">
        <w:fldChar w:fldCharType="begin"/>
      </w:r>
      <w:r w:rsidR="00720FCA">
        <w:instrText xml:space="preserve"> REF _Ref37058581 \n </w:instrText>
      </w:r>
      <w:r w:rsidR="00720FCA">
        <w:fldChar w:fldCharType="separate"/>
      </w:r>
      <w:r w:rsidR="00FF1B3A">
        <w:t>[16]</w:t>
      </w:r>
      <w:r w:rsidR="00720FCA">
        <w:fldChar w:fldCharType="end"/>
      </w:r>
      <w:r w:rsidR="00720FCA">
        <w:fldChar w:fldCharType="begin"/>
      </w:r>
      <w:r w:rsidR="00720FCA">
        <w:instrText xml:space="preserve"> REF _Ref37179880 \n </w:instrText>
      </w:r>
      <w:r w:rsidR="00720FCA">
        <w:fldChar w:fldCharType="separate"/>
      </w:r>
      <w:r w:rsidR="00FF1B3A">
        <w:t>[23]</w:t>
      </w:r>
      <w:r w:rsidR="00720FCA">
        <w:fldChar w:fldCharType="end"/>
      </w:r>
      <w:r w:rsidR="0083510A">
        <w:t>.</w:t>
      </w:r>
    </w:p>
    <w:p w14:paraId="74DD32A5" w14:textId="1427C78E" w:rsidR="00F66FD5" w:rsidRPr="00F66FD5" w:rsidRDefault="00F66FD5" w:rsidP="00F66FD5">
      <w:pPr>
        <w:pStyle w:val="heading2"/>
      </w:pPr>
      <w:r>
        <w:t>Epoch-Based Sampling (EPOCH)</w:t>
      </w:r>
    </w:p>
    <w:p w14:paraId="7B2F8B55" w14:textId="25B94D2E" w:rsidR="005137B7" w:rsidRPr="00F66FD5" w:rsidRDefault="00FA2DCE" w:rsidP="005137B7">
      <w:pPr>
        <w:pStyle w:val="BodyText"/>
      </w:pPr>
      <w:r w:rsidRPr="004534C9">
        <w:rPr>
          <w:noProof/>
        </w:rPr>
        <mc:AlternateContent>
          <mc:Choice Requires="wps">
            <w:drawing>
              <wp:anchor distT="137160" distB="137160" distL="137160" distR="137160" simplePos="0" relativeHeight="251667456" behindDoc="0" locked="0" layoutInCell="1" allowOverlap="0" wp14:anchorId="6809A184" wp14:editId="4913ECE6">
                <wp:simplePos x="0" y="0"/>
                <wp:positionH relativeFrom="margin">
                  <wp:align>center</wp:align>
                </wp:positionH>
                <wp:positionV relativeFrom="margin">
                  <wp:align>bottom</wp:align>
                </wp:positionV>
                <wp:extent cx="4379976" cy="1572768"/>
                <wp:effectExtent l="0" t="0" r="190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57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28"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28"/>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09A184" id="Text Box 11" o:spid="_x0000_s1030" type="#_x0000_t202" style="position:absolute;left:0;text-align:left;margin-left:0;margin-top:0;width:344.9pt;height:123.85pt;z-index:2516674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" o:allowoverlap="f" stroked="f">
                <v:textbox inset="0,0,0,0">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397"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397"/>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v:textbox>
                <w10:wrap type="square" anchorx="margin" anchory="margin"/>
              </v:shape>
            </w:pict>
          </mc:Fallback>
        </mc:AlternateContent>
      </w:r>
      <w:r w:rsidR="00F66FD5" w:rsidRPr="00F66FD5">
        <w:t xml:space="preserve">Epoch-based scoring uses a metric that treats the reference and hypothesis as signals. These signals are sampled at a fixed </w:t>
      </w:r>
      <w:r w:rsidR="00BA69CF">
        <w:t xml:space="preserve">frame rate, or </w:t>
      </w:r>
      <w:r w:rsidR="00F66FD5" w:rsidRPr="00F66FD5">
        <w:t>epoch</w:t>
      </w:r>
      <w:r w:rsidR="00BA69CF">
        <w:t xml:space="preserve">, </w:t>
      </w:r>
      <w:r w:rsidR="00F66FD5" w:rsidRPr="00F66FD5">
        <w:t xml:space="preserve">duration. The corresponding label in the reference is compared to the hypothesis. Similar to DPALIGN, </w:t>
      </w:r>
      <w:r w:rsidR="0003384D" w:rsidRPr="00F66FD5">
        <w:t>substitutions</w:t>
      </w:r>
      <w:r w:rsidR="00F66FD5" w:rsidRPr="00F66FD5">
        <w:t xml:space="preserve">, deletions and insertion errors are tabulated with an equal weight of </w:t>
      </w:r>
      <m:oMath>
        <m:r>
          <w:rPr>
            <w:rFonts w:ascii="Cambria Math" w:hAnsi="Cambria Math"/>
          </w:rPr>
          <m:t>1.0</m:t>
        </m:r>
      </m:oMath>
      <w:r w:rsidR="00F66FD5" w:rsidRPr="00F66FD5">
        <w:t xml:space="preserve"> for each type of error. This process is depicted in </w:t>
      </w:r>
      <w:r w:rsidR="00720FCA">
        <w:fldChar w:fldCharType="begin"/>
      </w:r>
      <w:r w:rsidR="00720FCA">
        <w:instrText xml:space="preserve"> REF _Ref498387710 \* mergeformat</w:instrText>
      </w:r>
      <w:r w:rsidR="00720FCA">
        <w:fldChar w:fldCharType="separate"/>
      </w:r>
      <w:r w:rsidR="00FF1B3A" w:rsidRPr="00E91D8D">
        <w:t>Figure 6</w:t>
      </w:r>
      <w:r w:rsidR="00720FCA">
        <w:fldChar w:fldCharType="end"/>
      </w:r>
      <w:r w:rsidR="00F66FD5" w:rsidRPr="00F66FD5">
        <w:t>. Epoch-based scoring requires that the entire signal be annotated</w:t>
      </w:r>
      <w:r w:rsidR="002A758D">
        <w:t xml:space="preserve"> (every second of the signal must be accounted for in the reference and hypothesis annotations)</w:t>
      </w:r>
      <w:r w:rsidR="00F66FD5" w:rsidRPr="00F66FD5">
        <w:t xml:space="preserve">, which is normally the case for sequential decoding evaluations. It attempts to account for the amount of time the two annotations overlap, so it directly addresses the inconsistencies demonstrated in </w:t>
      </w:r>
      <w:r w:rsidR="002A758D">
        <w:t>Figures </w:t>
      </w:r>
      <w:r w:rsidR="00720FCA">
        <w:fldChar w:fldCharType="begin"/>
      </w:r>
      <w:r w:rsidR="00720FCA">
        <w:instrText xml:space="preserve"> REF figure_atw_1  \* MERGEFORMAT </w:instrText>
      </w:r>
      <w:r w:rsidR="00720FCA">
        <w:fldChar w:fldCharType="separate"/>
      </w:r>
      <w:r w:rsidR="00FF1B3A" w:rsidRPr="00E91D8D">
        <w:t>3</w:t>
      </w:r>
      <w:r w:rsidR="00720FCA">
        <w:fldChar w:fldCharType="end"/>
      </w:r>
      <w:r w:rsidR="002A758D">
        <w:t xml:space="preserve"> and </w:t>
      </w:r>
      <w:r w:rsidR="00720FCA">
        <w:fldChar w:fldCharType="begin"/>
      </w:r>
      <w:r w:rsidR="00720FCA">
        <w:instrText xml:space="preserve"> REF figure_atw_2  \* MERGEFORMAT </w:instrText>
      </w:r>
      <w:r w:rsidR="00720FCA">
        <w:fldChar w:fldCharType="separate"/>
      </w:r>
      <w:r w:rsidR="00FF1B3A" w:rsidRPr="00E91D8D">
        <w:t>4</w:t>
      </w:r>
      <w:r w:rsidR="00720FCA">
        <w:fldChar w:fldCharType="end"/>
      </w:r>
      <w:r w:rsidR="00F66FD5" w:rsidRPr="00F66FD5">
        <w:t>.</w:t>
      </w:r>
    </w:p>
    <w:p w14:paraId="655A2796" w14:textId="4270FAD2" w:rsidR="00F66FD5" w:rsidRPr="00F66FD5" w:rsidRDefault="00F66FD5" w:rsidP="00F66FD5">
      <w:pPr>
        <w:pStyle w:val="BodyText"/>
      </w:pPr>
      <w:r w:rsidRPr="00F66FD5">
        <w:t xml:space="preserve">One important parameter to be tweaked in this algorithm is the frequency with which we sample the two annotations, which we refer to as the scoring epoch duration. </w:t>
      </w:r>
      <w:r w:rsidR="00E20694">
        <w:t xml:space="preserve">The scoring epoch duration </w:t>
      </w:r>
      <w:r w:rsidRPr="00F66FD5">
        <w:t xml:space="preserve">is ideally set to an amount of time smaller than the unit of time used by the classification system to make decisions. For example, the hypothesis in </w:t>
      </w:r>
      <w:r w:rsidR="00720FCA">
        <w:fldChar w:fldCharType="begin"/>
      </w:r>
      <w:r w:rsidR="00720FCA">
        <w:instrText xml:space="preserve"> REF _Ref498387710 \* mergeformat</w:instrText>
      </w:r>
      <w:r w:rsidR="00720FCA">
        <w:fldChar w:fldCharType="separate"/>
      </w:r>
      <w:r w:rsidR="00FF1B3A" w:rsidRPr="00E91D8D">
        <w:t>Figure 6</w:t>
      </w:r>
      <w:r w:rsidR="00720FCA">
        <w:fldChar w:fldCharType="end"/>
      </w:r>
      <w:r w:rsidRPr="00F66FD5">
        <w:t xml:space="preserve"> </w:t>
      </w:r>
      <w:r w:rsidR="00AF615B">
        <w:t xml:space="preserve">contains </w:t>
      </w:r>
      <w:r w:rsidRPr="00F66FD5">
        <w:t>decisions</w:t>
      </w:r>
      <w:r w:rsidR="00AF615B">
        <w:t xml:space="preserve"> made for </w:t>
      </w:r>
      <w:r w:rsidRPr="00F66FD5">
        <w:t xml:space="preserve">every </w:t>
      </w:r>
      <m:oMath>
        <m:r>
          <w:rPr>
            <w:rFonts w:ascii="Cambria Math" w:hAnsi="Cambria Math"/>
          </w:rPr>
          <m:t>1 </m:t>
        </m:r>
        <m:r>
          <w:rPr>
            <w:rFonts w:ascii="Cambria Math" w:hAnsi="Cambria Math"/>
          </w:rPr>
          <m:t>sec</m:t>
        </m:r>
      </m:oMath>
      <w:r w:rsidR="00AF615B">
        <w:t xml:space="preserve"> of data. </w:t>
      </w:r>
      <w:r w:rsidRPr="00F66FD5">
        <w:t xml:space="preserve">The scoring epoch duration should be set </w:t>
      </w:r>
      <w:r w:rsidR="004B3E01">
        <w:t xml:space="preserve">less </w:t>
      </w:r>
      <w:r w:rsidRPr="00F66FD5">
        <w:t>than</w:t>
      </w:r>
      <w:r w:rsidR="004B3E01">
        <w:t xml:space="preserve"> </w:t>
      </w:r>
      <m:oMath>
        <m:r>
          <w:rPr>
            <w:rFonts w:ascii="Cambria Math" w:hAnsi="Cambria Math"/>
          </w:rPr>
          <m:t>1 </m:t>
        </m:r>
        <m:r>
          <w:rPr>
            <w:rFonts w:ascii="Cambria Math" w:hAnsi="Cambria Math"/>
          </w:rPr>
          <m:t>sec</m:t>
        </m:r>
      </m:oMath>
      <w:r w:rsidR="004B3E01">
        <w:t>.</w:t>
      </w:r>
      <w:r w:rsidRPr="00F66FD5">
        <w:t xml:space="preserve"> We </w:t>
      </w:r>
      <w:r w:rsidR="004B3E01">
        <w:t xml:space="preserve">set this parameter to </w:t>
      </w:r>
      <m:oMath>
        <m:r>
          <w:rPr>
            <w:rFonts w:ascii="Cambria Math" w:hAnsi="Cambria Math"/>
          </w:rPr>
          <m:t>0.25 </m:t>
        </m:r>
        <m:r>
          <w:rPr>
            <w:rFonts w:ascii="Cambria Math" w:hAnsi="Cambria Math"/>
          </w:rPr>
          <m:t>secs</m:t>
        </m:r>
      </m:oMath>
      <w:r w:rsidRPr="00F66FD5">
        <w:t xml:space="preserve"> for most of our work because our analysis system epoch duration is typically </w:t>
      </w:r>
      <m:oMath>
        <m:r>
          <w:rPr>
            <w:rFonts w:ascii="Cambria Math" w:hAnsi="Cambria Math"/>
          </w:rPr>
          <m:t>1 </m:t>
        </m:r>
        <m:r>
          <w:rPr>
            <w:rFonts w:ascii="Cambria Math" w:hAnsi="Cambria Math"/>
          </w:rPr>
          <m:t>sec</m:t>
        </m:r>
      </m:oMath>
      <w:r w:rsidRPr="00F66FD5">
        <w:t xml:space="preserve">. We find in situations like this the results are not overly sensitive to the choice of the </w:t>
      </w:r>
      <w:r w:rsidR="00E20694">
        <w:t xml:space="preserve">scoring </w:t>
      </w:r>
      <w:r w:rsidRPr="00F66FD5">
        <w:t xml:space="preserve">epoch duration </w:t>
      </w:r>
      <w:r w:rsidRPr="00F66FD5">
        <w:lastRenderedPageBreak/>
        <w:t xml:space="preserve">as long as it is below </w:t>
      </w:r>
      <w:r w:rsidR="00E20694">
        <w:t xml:space="preserve">the frame rate of the classification system, which is </w:t>
      </w:r>
      <m:oMath>
        <m:r>
          <w:rPr>
            <w:rFonts w:ascii="Cambria Math" w:hAnsi="Cambria Math"/>
          </w:rPr>
          <m:t>1 </m:t>
        </m:r>
        <m:r>
          <w:rPr>
            <w:rFonts w:ascii="Cambria Math" w:hAnsi="Cambria Math"/>
          </w:rPr>
          <m:t>sec</m:t>
        </m:r>
      </m:oMath>
      <w:r w:rsidR="00E20694">
        <w:t xml:space="preserve"> in this case</w:t>
      </w:r>
      <w:r w:rsidRPr="00F66FD5">
        <w:t xml:space="preserve">. This parameter simply controls </w:t>
      </w:r>
      <w:r w:rsidR="00AF615B">
        <w:t xml:space="preserve">the </w:t>
      </w:r>
      <w:r w:rsidRPr="00F66FD5">
        <w:t xml:space="preserve">precision </w:t>
      </w:r>
      <w:r w:rsidR="00AF615B">
        <w:t xml:space="preserve">used to assess the accuracy of </w:t>
      </w:r>
      <w:r w:rsidRPr="00F66FD5">
        <w:t xml:space="preserve">segment boundaries. </w:t>
      </w:r>
    </w:p>
    <w:p w14:paraId="4EAD82B4" w14:textId="7C8D5CC2" w:rsidR="00F66FD5" w:rsidRDefault="00F66FD5" w:rsidP="00F66FD5">
      <w:pPr>
        <w:pStyle w:val="BodyText"/>
      </w:pPr>
      <w:r w:rsidRPr="00F66FD5">
        <w:t xml:space="preserve">Because EPOCH scoring samples the annotations at fixed time intervals, it is inherently biased to weigh long seizure events more heavily. For example, if a signal contains one extremely long seizure event (e.g., </w:t>
      </w:r>
      <m:oMath>
        <m:r>
          <w:rPr>
            <w:rFonts w:ascii="Cambria Math" w:hAnsi="Cambria Math"/>
          </w:rPr>
          <m:t>1000 secs</m:t>
        </m:r>
      </m:oMath>
      <w:r w:rsidRPr="00F66FD5">
        <w:t xml:space="preserve">) and two short events (e.g., each </w:t>
      </w:r>
      <m:oMath>
        <m:r>
          <w:rPr>
            <w:rFonts w:ascii="Cambria Math" w:hAnsi="Cambria Math"/>
          </w:rPr>
          <m:t>10 secs</m:t>
        </m:r>
      </m:oMath>
      <w:r w:rsidRPr="00F66FD5">
        <w:t xml:space="preserve"> in duration), the accuracy with which the first event is detected will dominate the overall scoring. Since seizure events can vary dramatically in duration, this is a cause for concern.</w:t>
      </w:r>
    </w:p>
    <w:p w14:paraId="2209CEA9" w14:textId="4F978630" w:rsidR="005611CC" w:rsidRPr="00F66FD5" w:rsidRDefault="005611CC" w:rsidP="005611CC">
      <w:pPr>
        <w:pStyle w:val="heading2"/>
      </w:pPr>
      <w:r>
        <w:t>Any-Overlap Method (OVLP)</w:t>
      </w:r>
    </w:p>
    <w:p w14:paraId="4F5F5CA7" w14:textId="51F98590" w:rsidR="005611CC" w:rsidRDefault="000F054D" w:rsidP="004534C9">
      <w:pPr>
        <w:pStyle w:val="BodyText"/>
        <w:widowControl w:val="0"/>
        <w:ind w:firstLine="230"/>
      </w:pPr>
      <w:r>
        <w:t>In Section </w:t>
      </w:r>
      <w:r w:rsidR="00720FCA">
        <w:fldChar w:fldCharType="begin"/>
      </w:r>
      <w:r w:rsidR="00720FCA">
        <w:instrText xml:space="preserve"> REF _Ref37203160 \n </w:instrText>
      </w:r>
      <w:r w:rsidR="00720FCA">
        <w:fldChar w:fldCharType="separate"/>
      </w:r>
      <w:r w:rsidR="00FF1B3A">
        <w:t>2</w:t>
      </w:r>
      <w:r w:rsidR="00720FCA">
        <w:fldChar w:fldCharType="end"/>
      </w:r>
      <w:r>
        <w:t>, w</w:t>
      </w:r>
      <w:r w:rsidR="005611CC">
        <w:t>e</w:t>
      </w:r>
      <w:r>
        <w:t xml:space="preserve"> briefly </w:t>
      </w:r>
      <w:r w:rsidR="005611CC">
        <w:t xml:space="preserve">introduced the OVLP metric </w:t>
      </w:r>
      <w:r>
        <w:t xml:space="preserve">and indicated it was </w:t>
      </w:r>
      <w:r w:rsidR="005611CC">
        <w:t xml:space="preserve">a popular choice in the neuroengineering community </w:t>
      </w:r>
      <w:r w:rsidR="00720FCA">
        <w:fldChar w:fldCharType="begin"/>
      </w:r>
      <w:r w:rsidR="00720FCA">
        <w:instrText xml:space="preserve"> REF _Ref37160778 \n </w:instrText>
      </w:r>
      <w:r w:rsidR="00720FCA">
        <w:fldChar w:fldCharType="separate"/>
      </w:r>
      <w:r w:rsidR="00FF1B3A">
        <w:t>[5]</w:t>
      </w:r>
      <w:r w:rsidR="00720FCA">
        <w:fldChar w:fldCharType="end"/>
      </w:r>
      <w:r w:rsidR="00720FCA">
        <w:fldChar w:fldCharType="begin"/>
      </w:r>
      <w:r w:rsidR="00720FCA">
        <w:instrText xml:space="preserve"> REF _Ref37160791 \n </w:instrText>
      </w:r>
      <w:r w:rsidR="00720FCA">
        <w:fldChar w:fldCharType="separate"/>
      </w:r>
      <w:r w:rsidR="00FF1B3A">
        <w:t>[33]</w:t>
      </w:r>
      <w:r w:rsidR="00720FCA">
        <w:fldChar w:fldCharType="end"/>
      </w:r>
      <w:r w:rsidR="005611CC">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18724158" w14:textId="03532A0D" w:rsidR="005611CC" w:rsidRDefault="00FA2DCE" w:rsidP="005611CC">
      <w:pPr>
        <w:pStyle w:val="BodyText"/>
      </w:pPr>
      <w:r>
        <w:rPr>
          <w:noProof/>
          <w:sz w:val="24"/>
          <w:szCs w:val="24"/>
        </w:rPr>
        <mc:AlternateContent>
          <mc:Choice Requires="wps">
            <w:drawing>
              <wp:anchor distT="137160" distB="137160" distL="137160" distR="137160" simplePos="0" relativeHeight="251669504" behindDoc="0" locked="0" layoutInCell="1" allowOverlap="0" wp14:anchorId="272B6066" wp14:editId="2201C961">
                <wp:simplePos x="0" y="0"/>
                <wp:positionH relativeFrom="margin">
                  <wp:align>center</wp:align>
                </wp:positionH>
                <wp:positionV relativeFrom="margin">
                  <wp:align>bottom</wp:align>
                </wp:positionV>
                <wp:extent cx="4379976" cy="2743200"/>
                <wp:effectExtent l="0" t="0" r="190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29"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29"/>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B6066" id="Text Box 13" o:spid="_x0000_s1031" type="#_x0000_t202" style="position:absolute;left:0;text-align:left;margin-left:0;margin-top:0;width:344.9pt;height:3in;z-index:25166950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" o:allowoverlap="f" stroked="f">
                <v:textbox inset="0,0,0,0">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445"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445"/>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v:textbox>
                <w10:wrap type="square" anchorx="margin" anchory="margin"/>
              </v:shape>
            </w:pict>
          </mc:Fallback>
        </mc:AlternateContent>
      </w:r>
      <w:r w:rsidR="005611CC">
        <w:t xml:space="preserve">The OVLP scoring method is demonstrated in </w:t>
      </w:r>
      <w:r w:rsidR="00720FCA">
        <w:fldChar w:fldCharType="begin"/>
      </w:r>
      <w:r w:rsidR="00720FCA">
        <w:instrText xml:space="preserve"> REF _Ref498388415 \*mergeformat</w:instrText>
      </w:r>
      <w:r w:rsidR="00720FCA">
        <w:fldChar w:fldCharType="separate"/>
      </w:r>
      <w:r w:rsidR="00FF1B3A" w:rsidRPr="00E91D8D">
        <w:t>Figure 7</w:t>
      </w:r>
      <w:r w:rsidR="00720FCA">
        <w:fldChar w:fldCharType="end"/>
      </w:r>
      <w:r w:rsidR="005611CC">
        <w:t xml:space="preserve">. It has one significant tunable parameter </w:t>
      </w:r>
      <w:r w:rsidR="005611CC">
        <w:softHyphen/>
        <w:t xml:space="preserve">– a guard band that controls the degree to which a misalignment is still considered as a correct match. In this study, we use a fairly strict </w:t>
      </w:r>
      <w:r w:rsidR="004B3E01">
        <w:t xml:space="preserve">setting for this parameter – </w:t>
      </w:r>
      <m:oMath>
        <m:r>
          <w:rPr>
            <w:rFonts w:ascii="Cambria Math" w:hAnsi="Cambria Math"/>
          </w:rPr>
          <m:t>1 ms</m:t>
        </m:r>
      </m:oMath>
      <w:r w:rsidR="004B3E01">
        <w:t xml:space="preserve">. This has the effect of </w:t>
      </w:r>
      <w:r w:rsidR="005611CC">
        <w:t>requir</w:t>
      </w:r>
      <w:r w:rsidR="004B3E01">
        <w:t xml:space="preserve">ing </w:t>
      </w:r>
      <w:r w:rsidR="005611CC">
        <w:t xml:space="preserve">some overlap between the two events in time </w:t>
      </w:r>
      <w:r w:rsidR="005611CC">
        <w:softHyphen/>
        <w:t xml:space="preserve">– </w:t>
      </w:r>
      <w:r w:rsidR="005611CC">
        <w:lastRenderedPageBreak/>
        <w:t>essentially a guard band of zero. The guard band needs to be tuned based on the needs of the application. Sensitivity generally increases as the guard band is increased.</w:t>
      </w:r>
    </w:p>
    <w:p w14:paraId="23087305" w14:textId="066215A8" w:rsidR="00F66FD5" w:rsidRPr="00F66FD5" w:rsidRDefault="005611CC" w:rsidP="00F66FD5">
      <w:pPr>
        <w:pStyle w:val="heading2"/>
      </w:pPr>
      <w:r>
        <w:t>Time-Aligned Event Scoring (TAES)</w:t>
      </w:r>
    </w:p>
    <w:p w14:paraId="1A6E2DBA" w14:textId="05500558" w:rsidR="00F558F2" w:rsidRDefault="005611CC" w:rsidP="004534C9">
      <w:pPr>
        <w:pStyle w:val="BodyText"/>
        <w:ind w:firstLine="230"/>
      </w:pPr>
      <w:r>
        <w:t xml:space="preserve">Though EPOCH scoring directly measures the amount of overlap between the annotations, there is a possibility that this </w:t>
      </w:r>
      <w:r w:rsidR="004B3E01">
        <w:t xml:space="preserve">metric also </w:t>
      </w:r>
      <w:r>
        <w:t>too heavily weighs single long events. Seizure events can vary in duration from a few seconds to</w:t>
      </w:r>
      <w:r w:rsidR="006672C7">
        <w:t xml:space="preserve"> </w:t>
      </w:r>
      <w:r w:rsidR="00F558F2">
        <w:t>several minutes (a seizure that lasts longer than five minutes is considered a medical emergency)</w:t>
      </w:r>
      <w:r>
        <w:t>. In some applications, correctly detecting the number of events is as important as their duration.</w:t>
      </w:r>
    </w:p>
    <w:p w14:paraId="1E84B07C" w14:textId="777FE606" w:rsidR="004B3E01" w:rsidRDefault="005E5163" w:rsidP="004534C9">
      <w:pPr>
        <w:pStyle w:val="BodyText"/>
        <w:ind w:firstLine="230"/>
      </w:pPr>
      <w:r>
        <w:t xml:space="preserve">In </w:t>
      </w:r>
      <w:r w:rsidR="00257E48">
        <w:t>machine learning</w:t>
      </w:r>
      <w:r w:rsidR="00D24BC7">
        <w:t>,</w:t>
      </w:r>
      <w:r w:rsidR="00257E48">
        <w:t xml:space="preserve"> </w:t>
      </w:r>
      <w:r w:rsidR="00F558F2">
        <w:t xml:space="preserve">the </w:t>
      </w:r>
      <w:r w:rsidR="00257E48">
        <w:t>Jaccard Index</w:t>
      </w:r>
      <w:r w:rsidR="00FF1B3A">
        <w:t> </w:t>
      </w:r>
      <w:r w:rsidR="00720FCA">
        <w:fldChar w:fldCharType="begin"/>
      </w:r>
      <w:r w:rsidR="00720FCA">
        <w:instrText xml:space="preserve"> REF _Ref52311835 \n </w:instrText>
      </w:r>
      <w:r w:rsidR="00720FCA">
        <w:fldChar w:fldCharType="separate"/>
      </w:r>
      <w:r w:rsidR="00FF1B3A">
        <w:t>[36]</w:t>
      </w:r>
      <w:r w:rsidR="00720FCA">
        <w:fldChar w:fldCharType="end"/>
      </w:r>
      <w:r w:rsidR="00257E48">
        <w:t xml:space="preserve"> </w:t>
      </w:r>
      <w:r w:rsidR="00D24BC7">
        <w:t xml:space="preserve">is </w:t>
      </w:r>
      <w:r w:rsidR="00257E48">
        <w:t xml:space="preserve">widely used for </w:t>
      </w:r>
      <w:r w:rsidR="00D24BC7">
        <w:t xml:space="preserve">the analysis of </w:t>
      </w:r>
      <w:r w:rsidR="00257E48">
        <w:t xml:space="preserve">such overlapping events. </w:t>
      </w:r>
      <w:r w:rsidR="00FF1B3A">
        <w:t xml:space="preserve">The </w:t>
      </w:r>
      <w:r w:rsidR="00257E48">
        <w:t xml:space="preserve">Jaccard index is the ratio between </w:t>
      </w:r>
      <w:r w:rsidR="00747F1C">
        <w:t xml:space="preserve">the </w:t>
      </w:r>
      <w:r w:rsidR="00257E48">
        <w:t xml:space="preserve">intersection </w:t>
      </w:r>
      <w:r w:rsidR="00C70311">
        <w:t>and</w:t>
      </w:r>
      <w:r w:rsidR="00257E48">
        <w:t xml:space="preserve"> the union of two events. </w:t>
      </w:r>
      <w:r w:rsidR="00C70311">
        <w:t xml:space="preserve">However, this metric lacks the ability to specify </w:t>
      </w:r>
      <w:r w:rsidR="000D7FF4">
        <w:t xml:space="preserve">the degree of the misses and </w:t>
      </w:r>
      <w:r w:rsidR="00C70311">
        <w:t>false alarms separately.</w:t>
      </w:r>
      <w:r w:rsidR="005611CC">
        <w:t xml:space="preserve"> Hence, </w:t>
      </w:r>
      <w:r w:rsidR="000D7FF4">
        <w:t xml:space="preserve">since the FA rate is of great interest in bioengineering applications, </w:t>
      </w:r>
      <w:r w:rsidR="005611CC">
        <w:t>the TAES metric was designed</w:t>
      </w:r>
      <w:r w:rsidR="00C70311">
        <w:t xml:space="preserve"> to </w:t>
      </w:r>
      <w:r w:rsidR="000D7FF4">
        <w:t xml:space="preserve">tabulate these </w:t>
      </w:r>
      <w:r w:rsidR="00C70311">
        <w:t>error</w:t>
      </w:r>
      <w:r w:rsidR="000D7FF4">
        <w:t xml:space="preserve">s separately. </w:t>
      </w:r>
      <w:r w:rsidR="005611CC">
        <w:t xml:space="preserve">The essential parameters for calculation of sensitivity and specificity such as TP, TN and FP for </w:t>
      </w:r>
      <w:r w:rsidR="00FF7D2E">
        <w:t xml:space="preserve">the </w:t>
      </w:r>
      <w:r w:rsidR="005611CC">
        <w:t>TAES scoring metric are defined as follows:</w:t>
      </w:r>
    </w:p>
    <w:p w14:paraId="3CEF6510" w14:textId="60606A5F" w:rsidR="005611CC" w:rsidRDefault="00D82FBD" w:rsidP="004B3E01">
      <w:pPr>
        <w:pStyle w:val="Equation"/>
        <w:tabs>
          <w:tab w:val="right" w:pos="6918"/>
        </w:tabs>
        <w:ind w:left="187"/>
        <w:rPr>
          <w:sz w:val="18"/>
          <w:szCs w:val="18"/>
        </w:rPr>
      </w:pPr>
      <m:oMath>
        <m:r>
          <w:rPr>
            <w:rFonts w:ascii="Cambria Math" w:hAnsi="Cambria Math"/>
            <w:sz w:val="18"/>
            <w:szCs w:val="18"/>
          </w:rPr>
          <m:t>TP=</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iCs/>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 xml:space="preserve">stop </m:t>
            </m:r>
          </m:sub>
        </m:sSub>
        <m:r>
          <w:rPr>
            <w:rFonts w:ascii="Cambria Math" w:hAnsi="Cambria Math"/>
            <w:sz w:val="18"/>
            <w:szCs w:val="18"/>
          </w:rPr>
          <m:t>,</m:t>
        </m:r>
      </m:oMath>
      <w:r w:rsidR="005611CC" w:rsidRPr="004534C9">
        <w:rPr>
          <w:rFonts w:ascii="Cambria Math" w:hAnsi="Cambria Math"/>
          <w:i/>
          <w:iCs/>
          <w:sz w:val="18"/>
          <w:szCs w:val="18"/>
        </w:rPr>
        <w:tab/>
      </w:r>
      <w:r w:rsidR="005611CC" w:rsidRPr="004534C9">
        <w:rPr>
          <w:sz w:val="18"/>
          <w:szCs w:val="18"/>
        </w:rPr>
        <w:t>(</w:t>
      </w:r>
      <w:r w:rsidR="0054765F" w:rsidRPr="004534C9">
        <w:rPr>
          <w:sz w:val="18"/>
          <w:szCs w:val="18"/>
        </w:rPr>
        <w:fldChar w:fldCharType="begin"/>
      </w:r>
      <w:r w:rsidR="0054765F" w:rsidRPr="004534C9">
        <w:rPr>
          <w:sz w:val="18"/>
          <w:szCs w:val="18"/>
        </w:rPr>
        <w:instrText xml:space="preserve"> SEQ Equation \* ARABIC </w:instrText>
      </w:r>
      <w:r w:rsidR="0054765F" w:rsidRPr="004534C9">
        <w:rPr>
          <w:sz w:val="18"/>
          <w:szCs w:val="18"/>
        </w:rPr>
        <w:fldChar w:fldCharType="separate"/>
      </w:r>
      <w:r w:rsidR="00FF1B3A">
        <w:rPr>
          <w:noProof/>
          <w:sz w:val="18"/>
          <w:szCs w:val="18"/>
        </w:rPr>
        <w:t>11</w:t>
      </w:r>
      <w:r w:rsidR="0054765F" w:rsidRPr="004534C9">
        <w:rPr>
          <w:sz w:val="18"/>
          <w:szCs w:val="18"/>
        </w:rPr>
        <w:fldChar w:fldCharType="end"/>
      </w:r>
      <w:r w:rsidR="005611CC" w:rsidRPr="004534C9">
        <w:rPr>
          <w:sz w:val="18"/>
          <w:szCs w:val="18"/>
        </w:rPr>
        <w:t xml:space="preserve">) </w:t>
      </w:r>
    </w:p>
    <w:p w14:paraId="4704FA51" w14:textId="2514E859" w:rsidR="005611CC" w:rsidRPr="005611CC" w:rsidRDefault="00D82FBD" w:rsidP="00FF7D2E">
      <w:pPr>
        <w:pStyle w:val="Equation"/>
        <w:tabs>
          <w:tab w:val="right" w:pos="6918"/>
        </w:tabs>
        <w:ind w:left="187"/>
      </w:pPr>
      <m:oMath>
        <m:r>
          <w:rPr>
            <w:rFonts w:ascii="Cambria Math" w:hAnsi="Cambria Math"/>
            <w:sz w:val="18"/>
            <w:szCs w:val="18"/>
          </w:rPr>
          <m:t>TN=</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1-(TH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TH</m:t>
                </m:r>
              </m:e>
              <m:sub>
                <m:r>
                  <w:rPr>
                    <w:rFonts w:ascii="Cambria Math" w:hAnsi="Cambria Math"/>
                    <w:sz w:val="18"/>
                    <w:szCs w:val="18"/>
                  </w:rPr>
                  <m:t>start</m:t>
                </m:r>
              </m:sub>
            </m:sSub>
            <m:r>
              <w:rPr>
                <w:rFonts w:ascii="Cambria Math" w:hAnsi="Cambria Math"/>
                <w:sz w:val="18"/>
                <w:szCs w:val="18"/>
              </w:rPr>
              <m:t>)</m:t>
            </m:r>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oMath>
      <w:r w:rsidRPr="004534C9">
        <w:rPr>
          <w:sz w:val="18"/>
          <w:szCs w:val="18"/>
        </w:rPr>
        <w:t xml:space="preserve"> </w:t>
      </w:r>
      <w:r w:rsidRPr="004534C9">
        <w:rPr>
          <w:sz w:val="18"/>
          <w:szCs w:val="18"/>
        </w:rPr>
        <w:tab/>
        <w:t>(</w:t>
      </w:r>
      <w:r w:rsidRPr="004534C9">
        <w:rPr>
          <w:sz w:val="18"/>
          <w:szCs w:val="18"/>
        </w:rPr>
        <w:fldChar w:fldCharType="begin"/>
      </w:r>
      <w:r w:rsidRPr="004534C9">
        <w:rPr>
          <w:sz w:val="18"/>
          <w:szCs w:val="18"/>
        </w:rPr>
        <w:instrText xml:space="preserve"> SEQ Equation \* ARABIC </w:instrText>
      </w:r>
      <w:r w:rsidRPr="004534C9">
        <w:rPr>
          <w:sz w:val="18"/>
          <w:szCs w:val="18"/>
        </w:rPr>
        <w:fldChar w:fldCharType="separate"/>
      </w:r>
      <w:r w:rsidR="00FF1B3A">
        <w:rPr>
          <w:noProof/>
          <w:sz w:val="18"/>
          <w:szCs w:val="18"/>
        </w:rPr>
        <w:t>12</w:t>
      </w:r>
      <w:r w:rsidRPr="004534C9">
        <w:rPr>
          <w:sz w:val="18"/>
          <w:szCs w:val="18"/>
        </w:rPr>
        <w:fldChar w:fldCharType="end"/>
      </w:r>
      <w:r w:rsidRPr="004534C9">
        <w:rPr>
          <w:sz w:val="18"/>
          <w:szCs w:val="18"/>
        </w:rPr>
        <w:t>)</w:t>
      </w:r>
    </w:p>
    <w:p w14:paraId="1358165B" w14:textId="1EF732C9" w:rsidR="00D82FBD" w:rsidRDefault="00FF7D2E" w:rsidP="00E21091">
      <w:pPr>
        <w:pStyle w:val="Equation"/>
        <w:tabs>
          <w:tab w:val="right" w:pos="6918"/>
        </w:tabs>
        <w:ind w:left="187"/>
      </w:pPr>
      <m:oMath>
        <m:r>
          <w:rPr>
            <w:rFonts w:ascii="Cambria Math" w:hAnsi="Cambria Math"/>
            <w:sz w:val="18"/>
            <w:szCs w:val="18"/>
          </w:rPr>
          <m:t>FP=</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sSub>
                    <m:sSubPr>
                      <m:ctrlPr>
                        <w:rPr>
                          <w:rFonts w:ascii="Cambria Math" w:hAnsi="Cambria Math"/>
                          <w:i/>
                          <w:sz w:val="18"/>
                          <w:szCs w:val="18"/>
                        </w:rPr>
                      </m:ctrlPr>
                    </m:sSubPr>
                    <m:e>
                      <m:r>
                        <w:rPr>
                          <w:rFonts w:ascii="Cambria Math" w:hAnsi="Cambria Math"/>
                          <w:sz w:val="18"/>
                          <w:szCs w:val="18"/>
                        </w:rPr>
                        <m:t>, H</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≤1,</m:t>
                  </m:r>
                </m:e>
              </m:m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≤1,</m:t>
                  </m:r>
                </m:e>
              </m:mr>
              <m:mr>
                <m:e>
                  <m:r>
                    <w:rPr>
                      <w:rFonts w:ascii="Cambria Math" w:hAnsi="Cambria Math"/>
                      <w:sz w:val="18"/>
                      <w:szCs w:val="18"/>
                    </w:rPr>
                    <m:t>1,</m:t>
                  </m:r>
                </m:e>
                <m:e>
                  <m:r>
                    <w:rPr>
                      <w:rFonts w:ascii="Cambria Math" w:hAnsi="Cambria Math"/>
                      <w:sz w:val="18"/>
                      <w:szCs w:val="18"/>
                    </w:rPr>
                    <m:t>otherwise.</m:t>
                  </m:r>
                </m:e>
              </m:mr>
            </m:m>
          </m:e>
        </m:d>
      </m:oMath>
      <w:r>
        <w:rPr>
          <w:rFonts w:ascii="Cambria Math" w:hAnsi="Cambria Math"/>
          <w:i/>
          <w:sz w:val="18"/>
          <w:szCs w:val="18"/>
        </w:rPr>
        <w:tab/>
      </w:r>
      <w:r w:rsidRPr="00691D5D">
        <w:rPr>
          <w:sz w:val="18"/>
          <w:szCs w:val="18"/>
        </w:rPr>
        <w:t>(</w:t>
      </w:r>
      <w:r w:rsidRPr="00691D5D">
        <w:rPr>
          <w:sz w:val="18"/>
          <w:szCs w:val="18"/>
        </w:rPr>
        <w:fldChar w:fldCharType="begin"/>
      </w:r>
      <w:r w:rsidRPr="00691D5D">
        <w:rPr>
          <w:sz w:val="18"/>
          <w:szCs w:val="18"/>
        </w:rPr>
        <w:instrText xml:space="preserve"> SEQ Equation \* ARABIC </w:instrText>
      </w:r>
      <w:r w:rsidRPr="00691D5D">
        <w:rPr>
          <w:sz w:val="18"/>
          <w:szCs w:val="18"/>
        </w:rPr>
        <w:fldChar w:fldCharType="separate"/>
      </w:r>
      <w:r w:rsidR="00FF1B3A">
        <w:rPr>
          <w:noProof/>
          <w:sz w:val="18"/>
          <w:szCs w:val="18"/>
        </w:rPr>
        <w:t>13</w:t>
      </w:r>
      <w:r w:rsidRPr="00691D5D">
        <w:rPr>
          <w:sz w:val="18"/>
          <w:szCs w:val="18"/>
        </w:rPr>
        <w:fldChar w:fldCharType="end"/>
      </w:r>
      <w:r w:rsidRPr="00691D5D">
        <w:rPr>
          <w:sz w:val="18"/>
          <w:szCs w:val="18"/>
        </w:rPr>
        <w:t>)</w:t>
      </w:r>
    </w:p>
    <w:p w14:paraId="571016A8" w14:textId="080F01AF" w:rsidR="005137B7" w:rsidRPr="005611CC" w:rsidRDefault="005611CC" w:rsidP="004534C9">
      <w:pPr>
        <w:pStyle w:val="BodyText"/>
        <w:widowControl w:val="0"/>
        <w:ind w:firstLine="0"/>
      </w:pPr>
      <w:r>
        <w:t xml:space="preserve">where </w:t>
      </w:r>
      <m:oMath>
        <m:r>
          <w:rPr>
            <w:rFonts w:ascii="Cambria Math" w:hAnsi="Cambria Math"/>
          </w:rPr>
          <m:t>H</m:t>
        </m:r>
      </m:oMath>
      <w:r>
        <w:t xml:space="preserve"> and </w:t>
      </w:r>
      <m:oMath>
        <m:r>
          <w:rPr>
            <w:rFonts w:ascii="Cambria Math" w:hAnsi="Cambria Math"/>
          </w:rPr>
          <m:t>R</m:t>
        </m:r>
      </m:oMath>
      <w:r w:rsidRPr="005611CC">
        <w:t xml:space="preserve"> </w:t>
      </w:r>
      <w:r>
        <w:t xml:space="preserve">represent the reference and hypothesis events respectively, and </w:t>
      </w:r>
      <m:oMath>
        <m:sSub>
          <m:sSubPr>
            <m:ctrlPr>
              <w:rPr>
                <w:rFonts w:ascii="Cambria Math" w:hAnsi="Cambria Math"/>
              </w:rPr>
            </m:ctrlPr>
          </m:sSubPr>
          <m:e>
            <m:r>
              <w:rPr>
                <w:rFonts w:ascii="Cambria Math" w:hAnsi="Cambria Math"/>
              </w:rPr>
              <m:t>Ref</m:t>
            </m:r>
          </m:e>
          <m:sub>
            <m:r>
              <w:rPr>
                <w:rFonts w:ascii="Cambria Math" w:hAnsi="Cambria Math"/>
              </w:rPr>
              <m:t>dur</m:t>
            </m:r>
          </m:sub>
        </m:sSub>
      </m:oMath>
      <w:r w:rsidRPr="005611CC">
        <w:t xml:space="preserve"> </w:t>
      </w:r>
      <w:r>
        <w:t>represents the duration of the reference events.</w:t>
      </w:r>
    </w:p>
    <w:p w14:paraId="6C61D104" w14:textId="00A87EE0" w:rsidR="005611CC" w:rsidRPr="005611CC" w:rsidRDefault="005611CC" w:rsidP="005611CC">
      <w:pPr>
        <w:pStyle w:val="BodyText"/>
      </w:pPr>
      <w:r>
        <w:t xml:space="preserve">TAES gives equal weight to each event, but it calculates a partial score for each event based on the amount of overlap. </w:t>
      </w:r>
      <w:r w:rsidRPr="005611CC">
        <w:t xml:space="preserve">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w:t>
      </w:r>
      <m:oMath>
        <m:r>
          <w:rPr>
            <w:rFonts w:ascii="Cambria Math" w:hAnsi="Cambria Math"/>
          </w:rPr>
          <m:t>1</m:t>
        </m:r>
      </m:oMath>
      <w:r w:rsidRPr="005611CC">
        <w:t xml:space="preserve">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r w:rsidR="00720FCA">
        <w:fldChar w:fldCharType="begin"/>
      </w:r>
      <w:r w:rsidR="00720FCA">
        <w:instrText xml:space="preserve"> REF _Ref500361644 \* mergeformat</w:instrText>
      </w:r>
      <w:r w:rsidR="00720FCA">
        <w:fldChar w:fldCharType="separate"/>
      </w:r>
      <w:r w:rsidR="00FF1B3A" w:rsidRPr="00E91D8D">
        <w:t>Figure 8</w:t>
      </w:r>
      <w:r w:rsidR="00720FCA">
        <w:fldChar w:fldCharType="end"/>
      </w:r>
      <w:r w:rsidRPr="005611CC">
        <w:t>.</w:t>
      </w:r>
    </w:p>
    <w:p w14:paraId="4B724016" w14:textId="2196E3A3" w:rsidR="005611CC" w:rsidRPr="00F66FD5" w:rsidRDefault="005611CC" w:rsidP="005611CC">
      <w:pPr>
        <w:pStyle w:val="heading2"/>
      </w:pPr>
      <w:r>
        <w:lastRenderedPageBreak/>
        <w:t>Inter-Rater Agreement (IRA)</w:t>
      </w:r>
    </w:p>
    <w:p w14:paraId="6962C53C" w14:textId="5B18133E" w:rsidR="005611CC" w:rsidRPr="005611CC" w:rsidRDefault="005611CC" w:rsidP="005611CC">
      <w:pPr>
        <w:pStyle w:val="BodyText"/>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sidRPr="005611CC">
        <w:t>coefficient</w:t>
      </w:r>
      <w:r w:rsidR="00BF6238">
        <w:t> </w:t>
      </w:r>
      <w:r w:rsidR="00720FCA">
        <w:fldChar w:fldCharType="begin"/>
      </w:r>
      <w:r w:rsidR="00720FCA">
        <w:instrText xml:space="preserve"> REF _Ref37206325 \n </w:instrText>
      </w:r>
      <w:r w:rsidR="00720FCA">
        <w:fldChar w:fldCharType="separate"/>
      </w:r>
      <w:r w:rsidR="00FF1B3A">
        <w:t>[37]</w:t>
      </w:r>
      <w:r w:rsidR="00720FCA">
        <w:fldChar w:fldCharType="end"/>
      </w:r>
      <w:r w:rsidRPr="005611CC">
        <w:t>, which compares the observed accuracy with the expected accuracy. It is computed using:</w:t>
      </w:r>
    </w:p>
    <w:p w14:paraId="0D358A6F" w14:textId="48A372DD" w:rsidR="005611CC" w:rsidRPr="004534C9" w:rsidRDefault="005611CC" w:rsidP="004534C9">
      <w:pPr>
        <w:pStyle w:val="Equation"/>
        <w:tabs>
          <w:tab w:val="right" w:pos="6918"/>
        </w:tabs>
        <w:ind w:left="187"/>
        <w:rPr>
          <w:rFonts w:ascii="Cambria Math" w:hAnsi="Cambria Math"/>
          <w:i/>
          <w:sz w:val="18"/>
          <w:szCs w:val="18"/>
        </w:rPr>
      </w:pPr>
      <m:oMath>
        <m:r>
          <w:rPr>
            <w:rFonts w:ascii="Cambria Math" w:hAnsi="Cambria Math"/>
            <w:sz w:val="18"/>
            <w:szCs w:val="18"/>
          </w:rPr>
          <m:t xml:space="preserve">κ=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num>
          <m:den>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den>
        </m:f>
        <m:r>
          <w:rPr>
            <w:rFonts w:ascii="Cambria Math" w:hAnsi="Cambria Math"/>
            <w:sz w:val="18"/>
            <w:szCs w:val="18"/>
          </w:rPr>
          <m:t>,</m:t>
        </m:r>
      </m:oMath>
      <w:r w:rsidRPr="004534C9">
        <w:rPr>
          <w:rFonts w:ascii="Cambria Math" w:hAnsi="Cambria Math"/>
          <w:i/>
          <w:sz w:val="18"/>
          <w:szCs w:val="18"/>
        </w:rPr>
        <w:t> </w:t>
      </w:r>
      <w:r w:rsidRPr="004534C9">
        <w:rPr>
          <w:rFonts w:ascii="Cambria Math" w:hAnsi="Cambria Math"/>
          <w:i/>
          <w:sz w:val="18"/>
          <w:szCs w:val="18"/>
        </w:rPr>
        <w:tab/>
      </w:r>
      <w:r w:rsidR="00BF6238" w:rsidRPr="00691D5D">
        <w:rPr>
          <w:sz w:val="18"/>
          <w:szCs w:val="18"/>
        </w:rPr>
        <w:t>(</w:t>
      </w:r>
      <w:bookmarkStart w:id="30" w:name="equation_kappa"/>
      <w:r w:rsidR="00BF6238" w:rsidRPr="00691D5D">
        <w:rPr>
          <w:sz w:val="18"/>
          <w:szCs w:val="18"/>
        </w:rPr>
        <w:fldChar w:fldCharType="begin"/>
      </w:r>
      <w:r w:rsidR="00BF6238" w:rsidRPr="00691D5D">
        <w:rPr>
          <w:sz w:val="18"/>
          <w:szCs w:val="18"/>
        </w:rPr>
        <w:instrText xml:space="preserve"> SEQ Equation \* ARABIC </w:instrText>
      </w:r>
      <w:r w:rsidR="00BF6238" w:rsidRPr="00691D5D">
        <w:rPr>
          <w:sz w:val="18"/>
          <w:szCs w:val="18"/>
        </w:rPr>
        <w:fldChar w:fldCharType="separate"/>
      </w:r>
      <w:r w:rsidR="00FF1B3A">
        <w:rPr>
          <w:noProof/>
          <w:sz w:val="18"/>
          <w:szCs w:val="18"/>
        </w:rPr>
        <w:t>14</w:t>
      </w:r>
      <w:r w:rsidR="00BF6238" w:rsidRPr="00691D5D">
        <w:rPr>
          <w:sz w:val="18"/>
          <w:szCs w:val="18"/>
        </w:rPr>
        <w:fldChar w:fldCharType="end"/>
      </w:r>
      <w:bookmarkEnd w:id="30"/>
      <w:r w:rsidR="00BF6238">
        <w:rPr>
          <w:sz w:val="18"/>
          <w:szCs w:val="18"/>
        </w:rPr>
        <w:t>)</w:t>
      </w:r>
    </w:p>
    <w:p w14:paraId="5A0C6C8F" w14:textId="476BD7D2" w:rsidR="005611CC" w:rsidRPr="005611CC" w:rsidRDefault="000D7FF4" w:rsidP="004534C9">
      <w:pPr>
        <w:pStyle w:val="BodyText"/>
        <w:widowControl w:val="0"/>
        <w:ind w:firstLine="0"/>
      </w:pPr>
      <w:r>
        <w:rPr>
          <w:noProof/>
          <w:sz w:val="24"/>
          <w:szCs w:val="24"/>
        </w:rPr>
        <mc:AlternateContent>
          <mc:Choice Requires="wps">
            <w:drawing>
              <wp:anchor distT="137160" distB="137160" distL="137160" distR="137160" simplePos="0" relativeHeight="251671552" behindDoc="0" locked="0" layoutInCell="1" allowOverlap="0" wp14:anchorId="0F8012BD" wp14:editId="280EB4B9">
                <wp:simplePos x="0" y="0"/>
                <wp:positionH relativeFrom="margin">
                  <wp:posOffset>-3171</wp:posOffset>
                </wp:positionH>
                <wp:positionV relativeFrom="margin">
                  <wp:posOffset>4189705</wp:posOffset>
                </wp:positionV>
                <wp:extent cx="4389120" cy="2752090"/>
                <wp:effectExtent l="0" t="0" r="508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5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31"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31"/>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2BD" id="Text Box 15" o:spid="_x0000_s1032" type="#_x0000_t202" style="position:absolute;left:0;text-align:left;margin-left:-.25pt;margin-top:329.9pt;width:345.6pt;height:216.7pt;z-index:25167155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" o:allowoverlap="f" stroked="f">
                <v:textbox inset="0,0,0,0">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546"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546"/>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v:textbox>
                <w10:wrap type="square" anchorx="margin" anchory="margin"/>
              </v:shape>
            </w:pict>
          </mc:Fallback>
        </mc:AlternateContent>
      </w:r>
      <w:r w:rsidR="005611CC">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rsidR="005611CC">
        <w:t>is the relative observed agreement among raters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5611CC">
        <w:t> is the hypothetical probability of chance agreement.</w:t>
      </w:r>
    </w:p>
    <w:p w14:paraId="1CA622BC" w14:textId="45A71062" w:rsidR="005F55DC" w:rsidRDefault="005611CC" w:rsidP="005611CC">
      <w:pPr>
        <w:pStyle w:val="BodyText"/>
      </w:pPr>
      <w:r>
        <w:t xml:space="preserve">The </w:t>
      </w:r>
      <w:r w:rsidR="007D6893">
        <w:t xml:space="preserve">range of the </w:t>
      </w:r>
      <w:r>
        <w:t xml:space="preserve">Kappa coefficient </w:t>
      </w:r>
      <w:r w:rsidR="007D6893">
        <w:t xml:space="preserve">is </w:t>
      </w:r>
      <m:oMath>
        <m:r>
          <w:rPr>
            <w:rFonts w:ascii="Cambria Math" w:hAnsi="Cambria Math"/>
          </w:rPr>
          <m:t>[</m:t>
        </m:r>
        <m:r>
          <m:rPr>
            <m:sty m:val="p"/>
          </m:rPr>
          <w:rPr>
            <w:rFonts w:ascii="Cambria Math" w:hAnsi="Cambria Math"/>
          </w:rPr>
          <m:t>-1,</m:t>
        </m:r>
        <m:r>
          <w:rPr>
            <w:rFonts w:ascii="Cambria Math" w:hAnsi="Cambria Math"/>
          </w:rPr>
          <m:t> </m:t>
        </m:r>
        <m:r>
          <m:rPr>
            <m:sty m:val="p"/>
          </m:rPr>
          <w:rPr>
            <w:rFonts w:ascii="Cambria Math" w:hAnsi="Cambria Math"/>
          </w:rPr>
          <m:t>1</m:t>
        </m:r>
      </m:oMath>
      <w:r w:rsidR="004A1738">
        <w:t xml:space="preserve">] </w:t>
      </w:r>
      <w:r w:rsidR="007D6893">
        <w:t xml:space="preserve">where </w:t>
      </w:r>
      <m:oMath>
        <m:r>
          <w:rPr>
            <w:rFonts w:ascii="Cambria Math" w:hAnsi="Cambria Math"/>
          </w:rPr>
          <m:t>κ</m:t>
        </m:r>
        <m:r>
          <m:rPr>
            <m:sty m:val="p"/>
          </m:rPr>
          <w:rPr>
            <w:rFonts w:ascii="Cambria Math" w:hAnsi="Cambria Math"/>
          </w:rPr>
          <m:t xml:space="preserve">=1 </m:t>
        </m:r>
      </m:oMath>
      <w:r w:rsidR="007D6893">
        <w:t>corresponds to c</w:t>
      </w:r>
      <w:r>
        <w:t>omplete agreement</w:t>
      </w:r>
      <w:r w:rsidR="007D6893">
        <w:t xml:space="preserve"> </w:t>
      </w:r>
      <w:r>
        <w:t>and</w:t>
      </w:r>
      <m:oMath>
        <m:r>
          <m:rPr>
            <m:sty m:val="p"/>
          </m:rPr>
          <w:rPr>
            <w:rFonts w:ascii="Cambria Math" w:hAnsi="Cambria Math"/>
          </w:rPr>
          <m:t xml:space="preserve"> </m:t>
        </m:r>
        <m:r>
          <w:rPr>
            <w:rFonts w:ascii="Cambria Math" w:hAnsi="Cambria Math"/>
          </w:rPr>
          <m:t>κ</m:t>
        </m:r>
        <m:r>
          <m:rPr>
            <m:sty m:val="p"/>
          </m:rPr>
          <w:rPr>
            <w:rFonts w:ascii="Cambria Math" w:hAnsi="Cambria Math"/>
          </w:rPr>
          <m:t> =-1</m:t>
        </m:r>
      </m:oMath>
      <w:r w:rsidR="007D6893">
        <w:t xml:space="preserve"> </w:t>
      </w:r>
      <w:r w:rsidR="002D1288">
        <w:t xml:space="preserve">which corresponds to </w:t>
      </w:r>
      <w:r>
        <w:t xml:space="preserve">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t xml:space="preserve"> are common for these types of assessments</w:t>
      </w:r>
      <w:r w:rsidR="002D1288">
        <w:t> </w:t>
      </w:r>
      <w:r w:rsidR="00720FCA">
        <w:fldChar w:fldCharType="begin"/>
      </w:r>
      <w:r w:rsidR="00720FCA">
        <w:instrText xml:space="preserve"> REF _Ref37206556 \n </w:instrText>
      </w:r>
      <w:r w:rsidR="00720FCA">
        <w:fldChar w:fldCharType="separate"/>
      </w:r>
      <w:r w:rsidR="00FF1B3A">
        <w:t>[38]</w:t>
      </w:r>
      <w:r w:rsidR="00720FCA">
        <w:fldChar w:fldCharType="end"/>
      </w:r>
      <w: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08137013" w14:textId="0969F3DD" w:rsidR="0055305C" w:rsidRPr="00F66FD5" w:rsidRDefault="0055305C" w:rsidP="0055305C">
      <w:pPr>
        <w:pStyle w:val="heading2"/>
      </w:pPr>
      <w:r>
        <w:t>A Brief Comparison of Metrics</w:t>
      </w:r>
    </w:p>
    <w:p w14:paraId="3BE63071" w14:textId="32066346" w:rsidR="00A667B6" w:rsidRDefault="00ED0ADC" w:rsidP="004177D9">
      <w:pPr>
        <w:pStyle w:val="BodyText"/>
      </w:pPr>
      <w:r>
        <w:rPr>
          <w:noProof/>
          <w:sz w:val="24"/>
          <w:szCs w:val="24"/>
        </w:rPr>
        <mc:AlternateContent>
          <mc:Choice Requires="wps">
            <w:drawing>
              <wp:anchor distT="137160" distB="137160" distL="137160" distR="137160" simplePos="0" relativeHeight="251673600" behindDoc="0" locked="0" layoutInCell="1" allowOverlap="0" wp14:anchorId="79B61876" wp14:editId="3019EEA3">
                <wp:simplePos x="0" y="0"/>
                <wp:positionH relativeFrom="margin">
                  <wp:posOffset>-1075</wp:posOffset>
                </wp:positionH>
                <wp:positionV relativeFrom="margin">
                  <wp:posOffset>5738642</wp:posOffset>
                </wp:positionV>
                <wp:extent cx="4389120" cy="1206500"/>
                <wp:effectExtent l="0" t="0" r="508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32"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32"/>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1876" id="Text Box 22" o:spid="_x0000_s1033" type="#_x0000_t202" style="position:absolute;left:0;text-align:left;margin-left:-.1pt;margin-top:451.85pt;width:345.6pt;height:95pt;z-index:2516736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" o:allowoverlap="f" stroked="f">
                <v:textbox inset="0,0,0,0">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552"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552"/>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v:textbox>
                <w10:wrap type="square" anchorx="margin" anchory="margin"/>
              </v:shape>
            </w:pict>
          </mc:Fallback>
        </mc:AlternateContent>
      </w:r>
      <w:r w:rsidR="005E56CD" w:rsidRPr="005E56CD">
        <w:t xml:space="preserve">A simple example of how these metrics compare on a specific segment of a signal is shown in </w:t>
      </w:r>
      <w:r w:rsidR="00720FCA">
        <w:fldChar w:fldCharType="begin"/>
      </w:r>
      <w:r w:rsidR="00720FCA">
        <w:instrText xml:space="preserve"> REF _Ref499072524 \* MERGEFORMAT</w:instrText>
      </w:r>
      <w:r w:rsidR="00720FCA">
        <w:fldChar w:fldCharType="separate"/>
      </w:r>
      <w:r w:rsidR="00FF1B3A" w:rsidRPr="00E91D8D">
        <w:t>Figure 9</w:t>
      </w:r>
      <w:r w:rsidR="00720FCA">
        <w:fldChar w:fldCharType="end"/>
      </w:r>
      <w:r w:rsidR="005E56CD" w:rsidRPr="005E56CD">
        <w:t xml:space="preserve">. A </w:t>
      </w:r>
      <m:oMath>
        <m:r>
          <w:rPr>
            <w:rFonts w:ascii="Cambria Math" w:hAnsi="Cambria Math"/>
          </w:rPr>
          <m:t>10 </m:t>
        </m:r>
        <m:r>
          <w:rPr>
            <w:rFonts w:ascii="Cambria Math" w:hAnsi="Cambria Math"/>
          </w:rPr>
          <m:t>sec</m:t>
        </m:r>
      </m:oMath>
      <w:r w:rsidR="005E56CD" w:rsidRPr="005E56CD">
        <w:t xml:space="preserve"> section of an EEG signal is shown subdivided into </w:t>
      </w:r>
      <m:oMath>
        <m:r>
          <w:rPr>
            <w:rFonts w:ascii="Cambria Math" w:hAnsi="Cambria Math"/>
          </w:rPr>
          <m:t>1 </m:t>
        </m:r>
        <m:r>
          <w:rPr>
            <w:rFonts w:ascii="Cambria Math" w:hAnsi="Cambria Math"/>
          </w:rPr>
          <m:t>sec</m:t>
        </m:r>
      </m:oMath>
      <w:r w:rsidR="005E56CD" w:rsidRPr="005E56CD">
        <w:t xml:space="preserve"> </w:t>
      </w:r>
      <w:r w:rsidR="005E56CD" w:rsidRPr="005E56CD">
        <w:lastRenderedPageBreak/>
        <w:t>segments. The reference has three isolated events. The system being evaluated outputs one hypothesis that starts in the middle of the first event and continues through the remaining two events.</w:t>
      </w:r>
    </w:p>
    <w:p w14:paraId="060B6A40" w14:textId="4474174B" w:rsidR="00A667B6" w:rsidRDefault="005E56CD" w:rsidP="004177D9">
      <w:pPr>
        <w:pStyle w:val="BodyText"/>
      </w:pPr>
      <w:r w:rsidRPr="005E56CD">
        <w:t xml:space="preserve">ATWV scores the system as </w:t>
      </w:r>
      <m:oMath>
        <m:r>
          <w:rPr>
            <w:rFonts w:ascii="Cambria Math" w:hAnsi="Cambria Math"/>
          </w:rPr>
          <m:t>1</m:t>
        </m:r>
      </m:oMath>
      <w:r w:rsidR="000D7FF4">
        <w:t> </w:t>
      </w:r>
      <w:r w:rsidRPr="005E56CD">
        <w:t xml:space="preserve">TP and </w:t>
      </w:r>
      <m:oMath>
        <m:r>
          <w:rPr>
            <w:rFonts w:ascii="Cambria Math" w:hAnsi="Cambria Math"/>
          </w:rPr>
          <m:t>2</m:t>
        </m:r>
      </m:oMath>
      <w:r w:rsidR="000D7FF4">
        <w:t> </w:t>
      </w:r>
      <w:r w:rsidRPr="005E56CD">
        <w:t xml:space="preserve">FNs since it assigns the extended hypothesis event to the center reference event and leaves the other two undetected. The ATWV score is </w:t>
      </w:r>
      <m:oMath>
        <m:r>
          <w:rPr>
            <w:rFonts w:ascii="Cambria Math" w:hAnsi="Cambria Math"/>
          </w:rPr>
          <m:t>0.33</m:t>
        </m:r>
      </m:oMath>
      <w:r w:rsidRPr="005E56CD">
        <w:t xml:space="preserve"> for seizure events, </w:t>
      </w:r>
      <m:oMath>
        <m:r>
          <w:rPr>
            <w:rFonts w:ascii="Cambria Math" w:hAnsi="Cambria Math"/>
          </w:rPr>
          <m:t>0.25</m:t>
        </m:r>
      </m:oMath>
      <w:r w:rsidRPr="005E56CD">
        <w:t xml:space="preserve"> for background events, resulting in an average ATWV of </w:t>
      </w:r>
      <m:oMath>
        <m:r>
          <w:rPr>
            <w:rFonts w:ascii="Cambria Math" w:hAnsi="Cambria Math"/>
          </w:rPr>
          <m:t>0.29</m:t>
        </m:r>
      </m:oMath>
      <w:r w:rsidRPr="005E56CD">
        <w:t xml:space="preserve">. The sensitivity and FA rates for seizure events for this metric are </w:t>
      </w:r>
      <m:oMath>
        <m:r>
          <w:rPr>
            <w:rFonts w:ascii="Cambria Math" w:hAnsi="Cambria Math"/>
          </w:rPr>
          <m:t>33%</m:t>
        </m:r>
      </m:oMath>
      <w:r w:rsidRPr="005E56CD">
        <w:t xml:space="preserve"> and </w:t>
      </w:r>
      <m:oMath>
        <m:r>
          <w:rPr>
            <w:rFonts w:ascii="Cambria Math" w:hAnsi="Cambria Math"/>
          </w:rPr>
          <m:t>0</m:t>
        </m:r>
      </m:oMath>
      <w:r w:rsidRPr="005E56CD">
        <w:t xml:space="preserve"> per </w:t>
      </w:r>
      <m:oMath>
        <m:r>
          <w:rPr>
            <w:rFonts w:ascii="Cambria Math" w:hAnsi="Cambria Math"/>
          </w:rPr>
          <m:t xml:space="preserve">24 </m:t>
        </m:r>
        <m:r>
          <w:rPr>
            <w:rFonts w:ascii="Cambria Math" w:hAnsi="Cambria Math"/>
          </w:rPr>
          <m:t>hrs</m:t>
        </m:r>
      </m:oMath>
      <w:r w:rsidRPr="005E56CD">
        <w:t>. respectively.</w:t>
      </w:r>
    </w:p>
    <w:p w14:paraId="04FD77CC" w14:textId="1B08AD3E" w:rsidR="004177D9" w:rsidRPr="005E56CD" w:rsidRDefault="005E56CD" w:rsidP="004177D9">
      <w:pPr>
        <w:pStyle w:val="BodyText"/>
      </w:pPr>
      <w:r w:rsidRPr="005E56CD">
        <w:t>DPALIGN scores the system the same way since time alignments are ignored and the first event in each annotation are matched together, leaving the other two events undetected.</w:t>
      </w:r>
    </w:p>
    <w:p w14:paraId="2835C783" w14:textId="15370DDB" w:rsidR="00A667B6" w:rsidRDefault="005E56CD" w:rsidP="005E56CD">
      <w:pPr>
        <w:pStyle w:val="BodyText"/>
      </w:pPr>
      <w:r w:rsidRPr="005E56CD">
        <w:t xml:space="preserve">The EPOCH method scores the alignment </w:t>
      </w:r>
      <m:oMath>
        <m:r>
          <w:rPr>
            <w:rFonts w:ascii="Cambria Math" w:hAnsi="Cambria Math"/>
          </w:rPr>
          <m:t>5</m:t>
        </m:r>
      </m:oMath>
      <w:r w:rsidRPr="005E56CD">
        <w:t xml:space="preserve"> TP, </w:t>
      </w:r>
      <m:oMath>
        <m:r>
          <w:rPr>
            <w:rFonts w:ascii="Cambria Math" w:hAnsi="Cambria Math"/>
          </w:rPr>
          <m:t>3</m:t>
        </m:r>
      </m:oMath>
      <w:r w:rsidRPr="005E56CD">
        <w:t xml:space="preserve"> FP and </w:t>
      </w:r>
      <m:oMath>
        <m:r>
          <w:rPr>
            <w:rFonts w:ascii="Cambria Math" w:hAnsi="Cambria Math"/>
          </w:rPr>
          <m:t>1</m:t>
        </m:r>
      </m:oMath>
      <w:r w:rsidRPr="005E56CD">
        <w:t xml:space="preserve"> FN using a </w:t>
      </w:r>
      <m:oMath>
        <m:r>
          <w:rPr>
            <w:rFonts w:ascii="Cambria Math" w:hAnsi="Cambria Math"/>
          </w:rPr>
          <m:t>1 </m:t>
        </m:r>
        <m:r>
          <w:rPr>
            <w:rFonts w:ascii="Cambria Math" w:hAnsi="Cambria Math"/>
          </w:rPr>
          <m:t>sec</m:t>
        </m:r>
      </m:oMath>
      <w:r w:rsidRPr="005E56CD">
        <w:t xml:space="preserve"> epoch duration because there are </w:t>
      </w:r>
      <m:oMath>
        <m:r>
          <w:rPr>
            <w:rFonts w:ascii="Cambria Math" w:hAnsi="Cambria Math"/>
          </w:rPr>
          <m:t>4</m:t>
        </m:r>
      </m:oMath>
      <w:r w:rsidRPr="005E56CD">
        <w:t xml:space="preserve"> epochs for which the annotations do not agree and </w:t>
      </w:r>
      <m:oMath>
        <m:r>
          <w:rPr>
            <w:rFonts w:ascii="Cambria Math" w:hAnsi="Cambria Math"/>
          </w:rPr>
          <m:t>5</m:t>
        </m:r>
      </m:oMath>
      <w:r w:rsidR="002B5066">
        <w:t> </w:t>
      </w:r>
      <w:r w:rsidRPr="005E56CD">
        <w:t xml:space="preserve">epochs where they agree. The sensitivity is </w:t>
      </w:r>
      <m:oMath>
        <m:r>
          <w:rPr>
            <w:rFonts w:ascii="Cambria Math" w:hAnsi="Cambria Math"/>
          </w:rPr>
          <m:t>83.33%</m:t>
        </m:r>
      </m:oMath>
      <w:r w:rsidRPr="005E56CD">
        <w:t xml:space="preserve"> and the FA rate per </w:t>
      </w:r>
      <m:oMath>
        <m:r>
          <w:rPr>
            <w:rFonts w:ascii="Cambria Math" w:hAnsi="Cambria Math"/>
          </w:rPr>
          <m:t xml:space="preserve">24 </m:t>
        </m:r>
        <m:r>
          <w:rPr>
            <w:rFonts w:ascii="Cambria Math" w:hAnsi="Cambria Math"/>
          </w:rPr>
          <m:t>hrs</m:t>
        </m:r>
      </m:oMath>
      <w:r w:rsidR="002B5066">
        <w:t xml:space="preserve"> </w:t>
      </w:r>
      <w:r w:rsidRPr="005E56CD">
        <w:t xml:space="preserve">is very high because of the </w:t>
      </w:r>
      <m:oMath>
        <m:r>
          <w:rPr>
            <w:rFonts w:ascii="Cambria Math" w:hAnsi="Cambria Math"/>
          </w:rPr>
          <m:t>3</m:t>
        </m:r>
      </m:oMath>
      <w:r w:rsidRPr="005E56CD">
        <w:t xml:space="preserve"> FPs.</w:t>
      </w:r>
    </w:p>
    <w:p w14:paraId="6F30C998" w14:textId="7C1B3A49" w:rsidR="005E56CD" w:rsidRPr="005E56CD" w:rsidRDefault="005E56CD" w:rsidP="005E56CD">
      <w:pPr>
        <w:pStyle w:val="BodyText"/>
      </w:pPr>
      <w:r w:rsidRPr="005E56CD">
        <w:t xml:space="preserve">The OVLP method scores the segment as </w:t>
      </w:r>
      <m:oMath>
        <m:r>
          <w:rPr>
            <w:rFonts w:ascii="Cambria Math" w:hAnsi="Cambria Math"/>
          </w:rPr>
          <m:t>3</m:t>
        </m:r>
      </m:oMath>
      <w:r w:rsidR="002B5066">
        <w:t> </w:t>
      </w:r>
      <w:r w:rsidRPr="005E56CD">
        <w:t xml:space="preserve">TP and </w:t>
      </w:r>
      <m:oMath>
        <m:r>
          <w:rPr>
            <w:rFonts w:ascii="Cambria Math" w:hAnsi="Cambria Math"/>
          </w:rPr>
          <m:t>0</m:t>
        </m:r>
      </m:oMath>
      <w:r w:rsidRPr="005E56CD">
        <w:t xml:space="preserve"> FP because </w:t>
      </w:r>
      <w:r w:rsidR="002B5066">
        <w:t xml:space="preserve">the </w:t>
      </w:r>
      <w:r w:rsidRPr="005E56CD">
        <w:t xml:space="preserve">detected events have partial to full overlap with all the reference events, giving a sensitivity of </w:t>
      </w:r>
      <m:oMath>
        <m:r>
          <w:rPr>
            <w:rFonts w:ascii="Cambria Math" w:hAnsi="Cambria Math"/>
          </w:rPr>
          <m:t>100%</m:t>
        </m:r>
      </m:oMath>
      <w:r w:rsidRPr="005E56CD">
        <w:t xml:space="preserve"> with an FA rate of </w:t>
      </w:r>
      <m:oMath>
        <m:r>
          <w:rPr>
            <w:rFonts w:ascii="Cambria Math" w:hAnsi="Cambria Math"/>
          </w:rPr>
          <m:t>0</m:t>
        </m:r>
      </m:oMath>
      <w:r w:rsidRPr="005E56CD">
        <w:t xml:space="preserve">. TAES scores this segment as </w:t>
      </w:r>
      <m:oMath>
        <m:r>
          <w:rPr>
            <w:rFonts w:ascii="Cambria Math" w:hAnsi="Cambria Math"/>
          </w:rPr>
          <m:t>0.5</m:t>
        </m:r>
      </m:oMath>
      <w:r w:rsidRPr="005E56CD">
        <w:t xml:space="preserve"> TP and </w:t>
      </w:r>
      <m:oMath>
        <m:r>
          <w:rPr>
            <w:rFonts w:ascii="Cambria Math" w:hAnsi="Cambria Math"/>
          </w:rPr>
          <m:t>2.5</m:t>
        </m:r>
      </m:oMath>
      <w:r w:rsidRPr="005E56CD">
        <w:t xml:space="preserve"> FN because the first event is only </w:t>
      </w:r>
      <m:oMath>
        <m:r>
          <w:rPr>
            <w:rFonts w:ascii="Cambria Math" w:hAnsi="Cambria Math"/>
          </w:rPr>
          <m:t>50%</m:t>
        </m:r>
      </m:oMath>
      <w:r w:rsidRPr="005E56CD">
        <w:t xml:space="preserve"> correct and there are FN errors for the 5th to 7th and 9th epochs (an example of multiple overlapping reference events), giving a sensitivity of </w:t>
      </w:r>
      <m:oMath>
        <m:r>
          <w:rPr>
            <w:rFonts w:ascii="Cambria Math" w:hAnsi="Cambria Math"/>
          </w:rPr>
          <m:t>16.66%</m:t>
        </m:r>
      </m:oMath>
      <w:r w:rsidRPr="005E56CD">
        <w:t xml:space="preserve"> and a corresponding high FA rate.</w:t>
      </w:r>
    </w:p>
    <w:p w14:paraId="3DB2BD5C" w14:textId="3B97F769" w:rsidR="005E56CD" w:rsidRPr="005E56CD" w:rsidRDefault="005E56CD" w:rsidP="005E56CD">
      <w:pPr>
        <w:pStyle w:val="BodyText"/>
      </w:pPr>
      <w:r w:rsidRPr="005E56CD">
        <w:t xml:space="preserve">IRA for seizure events evaluated using Cohen’s Kappa statistic is </w:t>
      </w:r>
      <m:oMath>
        <m:r>
          <w:rPr>
            <w:rFonts w:ascii="Cambria Math" w:hAnsi="Cambria Math"/>
          </w:rPr>
          <m:t>0.09</m:t>
        </m:r>
      </m:oMath>
      <w:r w:rsidRPr="005E56CD">
        <w:t xml:space="preserve"> for this example because there are essentially </w:t>
      </w:r>
      <m:oMath>
        <m:r>
          <w:rPr>
            <w:rFonts w:ascii="Cambria Math" w:hAnsi="Cambria Math"/>
          </w:rPr>
          <m:t>4</m:t>
        </m:r>
      </m:oMath>
      <w:r w:rsidRPr="005E56CD">
        <w:t xml:space="preserve"> errors for </w:t>
      </w:r>
      <m:oMath>
        <m:r>
          <w:rPr>
            <w:rFonts w:ascii="Cambria Math" w:hAnsi="Cambria Math"/>
          </w:rPr>
          <m:t>4</m:t>
        </m:r>
      </m:oMath>
      <w:r w:rsidRPr="005E56CD">
        <w:t xml:space="preserve"> seizure events. IRAs below </w:t>
      </w:r>
      <m:oMath>
        <m:r>
          <w:rPr>
            <w:rFonts w:ascii="Cambria Math" w:hAnsi="Cambria Math"/>
          </w:rPr>
          <m:t>0.5</m:t>
        </m:r>
      </m:oMath>
      <w:r w:rsidRPr="005E56CD">
        <w:t xml:space="preserve"> indicate a poor match between the reference and the hypothesis.</w:t>
      </w:r>
    </w:p>
    <w:p w14:paraId="0D17570E" w14:textId="4FFB3868" w:rsidR="005E56CD" w:rsidRPr="005E56CD" w:rsidRDefault="005E56CD" w:rsidP="005E56CD">
      <w:pPr>
        <w:pStyle w:val="BodyText"/>
      </w:pPr>
      <w:r w:rsidRPr="005E56CD">
        <w:t xml:space="preserve">It is difficult to conclude from this example which of these measures are most appropriate for EEG analysis. However, we see that ATWV and DPALIGN generally produce similar results. The EPOCH metric produces larger counts because </w:t>
      </w:r>
      <w:r w:rsidR="002B5066">
        <w:t xml:space="preserve">this metric </w:t>
      </w:r>
      <w:r w:rsidRPr="005E56CD">
        <w:t>samples time rather than events. OVLP produces a high sensitivity while TAES produces a low sensitivity but a relatively higher FA rate.</w:t>
      </w:r>
      <w:r w:rsidR="00A667B6">
        <w:t xml:space="preserve"> In the next section we conduct a more rigorous evaluation of these metrics using the output of several automatic seizure detection systems.</w:t>
      </w:r>
    </w:p>
    <w:p w14:paraId="11120B4A" w14:textId="00503D8C" w:rsidR="005F55DC" w:rsidRDefault="00A667B6" w:rsidP="0083510A">
      <w:pPr>
        <w:pStyle w:val="heading1"/>
      </w:pPr>
      <w:r>
        <w:t>Evaluation</w:t>
      </w:r>
    </w:p>
    <w:p w14:paraId="6AED4A1B" w14:textId="707521EA" w:rsidR="005F55DC" w:rsidRDefault="006A0501" w:rsidP="006A0501">
      <w:pPr>
        <w:pStyle w:val="BodyText"/>
      </w:pPr>
      <w:r w:rsidRPr="00EF070A">
        <w:t xml:space="preserve">In order to evaluate </w:t>
      </w:r>
      <w:r w:rsidR="006E13E0">
        <w:t xml:space="preserve">the </w:t>
      </w:r>
      <w:r w:rsidRPr="00EF070A">
        <w:t xml:space="preserve">behavior of </w:t>
      </w:r>
      <w:r w:rsidR="006E13E0">
        <w:t xml:space="preserve">our scoring metrics, we analyzed the performance of several machine learning systems on a seizure detection task. We briefly introduce the TUH Seizure Detection Corpus. Next we introduce </w:t>
      </w:r>
      <m:oMath>
        <m:r>
          <w:rPr>
            <w:rFonts w:ascii="Cambria Math" w:hAnsi="Cambria Math"/>
          </w:rPr>
          <m:t>5</m:t>
        </m:r>
      </m:oMath>
      <w:r w:rsidR="006E13E0" w:rsidRPr="00EF070A">
        <w:t xml:space="preserve"> different hybrid </w:t>
      </w:r>
      <w:r w:rsidR="006E13E0">
        <w:t xml:space="preserve">machine learning </w:t>
      </w:r>
      <w:r w:rsidR="006E13E0" w:rsidRPr="00EF070A">
        <w:t>architectures</w:t>
      </w:r>
      <w:r w:rsidR="006E13E0">
        <w:t xml:space="preserve"> based on deep learning principles. We then conduct a very detailed statistical analysis of the performance of these systems using the scoring metrics introduced in Section </w:t>
      </w:r>
      <w:r w:rsidR="00720FCA">
        <w:fldChar w:fldCharType="begin"/>
      </w:r>
      <w:r w:rsidR="00720FCA">
        <w:instrText xml:space="preserve"> REF _Ref36961134 \n </w:instrText>
      </w:r>
      <w:r w:rsidR="00720FCA">
        <w:fldChar w:fldCharType="separate"/>
      </w:r>
      <w:r w:rsidR="00FF1B3A">
        <w:t>3</w:t>
      </w:r>
      <w:r w:rsidR="00720FCA">
        <w:fldChar w:fldCharType="end"/>
      </w:r>
      <w:r w:rsidR="006E13E0">
        <w:t>.</w:t>
      </w:r>
      <w:r w:rsidRPr="00EF070A">
        <w:t xml:space="preserve"> </w:t>
      </w:r>
    </w:p>
    <w:p w14:paraId="775F8D26" w14:textId="1A89D8A5" w:rsidR="00D06CC3" w:rsidRDefault="006E13E0" w:rsidP="006A0501">
      <w:pPr>
        <w:pStyle w:val="heading2"/>
      </w:pPr>
      <w:r>
        <w:lastRenderedPageBreak/>
        <w:t xml:space="preserve">The </w:t>
      </w:r>
      <w:r w:rsidR="00D06CC3">
        <w:t>TUH EEG Seizure</w:t>
      </w:r>
      <w:r>
        <w:t xml:space="preserve"> Corpus</w:t>
      </w:r>
    </w:p>
    <w:p w14:paraId="7AF83948" w14:textId="04692822" w:rsidR="004177D9" w:rsidRDefault="002B5066" w:rsidP="004177D9">
      <w:pPr>
        <w:pStyle w:val="BodyText"/>
        <w:rPr>
          <w:iCs/>
        </w:rPr>
      </w:pPr>
      <w:r>
        <w:rPr>
          <w:noProof/>
          <w:sz w:val="24"/>
          <w:szCs w:val="24"/>
        </w:rPr>
        <mc:AlternateContent>
          <mc:Choice Requires="wps">
            <w:drawing>
              <wp:anchor distT="137160" distB="137160" distL="137160" distR="137160" simplePos="0" relativeHeight="251675648" behindDoc="0" locked="0" layoutInCell="1" allowOverlap="0" wp14:anchorId="41951454" wp14:editId="72C3E061">
                <wp:simplePos x="0" y="0"/>
                <wp:positionH relativeFrom="margin">
                  <wp:posOffset>2180590</wp:posOffset>
                </wp:positionH>
                <wp:positionV relativeFrom="paragraph">
                  <wp:posOffset>770596</wp:posOffset>
                </wp:positionV>
                <wp:extent cx="2212848" cy="1700784"/>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700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C37E" w14:textId="08AAC7EE" w:rsidR="00FF1B3A" w:rsidRPr="006B1D14" w:rsidRDefault="00FF1B3A">
                            <w:pPr>
                              <w:pStyle w:val="Caption"/>
                              <w:spacing w:after="120"/>
                              <w:jc w:val="center"/>
                              <w:rPr>
                                <w:sz w:val="18"/>
                                <w:szCs w:val="18"/>
                              </w:rPr>
                            </w:pPr>
                            <w:bookmarkStart w:id="33"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33"/>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1454" id="Text Box 23" o:spid="_x0000_s1033" type="#_x0000_t202" style="position:absolute;left:0;text-align:left;margin-left:171.7pt;margin-top:60.7pt;width:174.25pt;height:133.9pt;z-index:2516756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" o:allowoverlap="f" stroked="f">
                <v:textbox inset="0,0,0,0">
                  <w:txbxContent>
                    <w:p w14:paraId="0F39C37E" w14:textId="08AAC7EE" w:rsidR="00FF1B3A" w:rsidRPr="006B1D14" w:rsidRDefault="00FF1B3A">
                      <w:pPr>
                        <w:pStyle w:val="Caption"/>
                        <w:spacing w:after="120"/>
                        <w:jc w:val="center"/>
                        <w:rPr>
                          <w:sz w:val="18"/>
                          <w:szCs w:val="18"/>
                        </w:rPr>
                      </w:pPr>
                      <w:bookmarkStart w:id="34"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34"/>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v:textbox>
                <w10:wrap type="square" anchorx="margin"/>
              </v:shape>
            </w:pict>
          </mc:Fallback>
        </mc:AlternateContent>
      </w:r>
      <w:r w:rsidR="00D06CC3">
        <w:rPr>
          <w:iCs/>
        </w:rPr>
        <w:t xml:space="preserve">To demonstrate the differences between these metrics on a realistic task, we have evaluated a range of machine learning systems on a seizure detection task based on the TUH EEG Seizure </w:t>
      </w:r>
      <w:r w:rsidR="006E13E0">
        <w:rPr>
          <w:iCs/>
        </w:rPr>
        <w:t xml:space="preserve">(TUSZ) </w:t>
      </w:r>
      <w:r w:rsidR="00D06CC3">
        <w:rPr>
          <w:iCs/>
        </w:rPr>
        <w:t>Corpus</w:t>
      </w:r>
      <w:r w:rsidR="00462010">
        <w:rPr>
          <w:iCs/>
        </w:rPr>
        <w:t> </w:t>
      </w:r>
      <w:r w:rsidR="006E13E0">
        <w:rPr>
          <w:iCs/>
        </w:rPr>
        <w:fldChar w:fldCharType="begin"/>
      </w:r>
      <w:r w:rsidR="006E13E0">
        <w:rPr>
          <w:iCs/>
        </w:rPr>
        <w:instrText xml:space="preserve"> REF _Ref37207524 \n </w:instrText>
      </w:r>
      <w:r w:rsidR="006E13E0">
        <w:rPr>
          <w:iCs/>
        </w:rPr>
        <w:fldChar w:fldCharType="separate"/>
      </w:r>
      <w:r w:rsidR="00FF1B3A">
        <w:rPr>
          <w:iCs/>
        </w:rPr>
        <w:t>[39]</w:t>
      </w:r>
      <w:r w:rsidR="006E13E0">
        <w:rPr>
          <w:iCs/>
        </w:rPr>
        <w:fldChar w:fldCharType="end"/>
      </w:r>
      <w:r w:rsidR="00277F22">
        <w:rPr>
          <w:iCs/>
        </w:rPr>
        <w:t>. This is a subset of the TUH EEG Corpus developed</w:t>
      </w:r>
      <w:r w:rsidR="00CB514F">
        <w:rPr>
          <w:iCs/>
        </w:rPr>
        <w:t xml:space="preserve"> at Temple University</w:t>
      </w:r>
      <w:r w:rsidR="00462010">
        <w:rPr>
          <w:iCs/>
        </w:rPr>
        <w:t> </w:t>
      </w:r>
      <w:r w:rsidR="00462010">
        <w:rPr>
          <w:iCs/>
        </w:rPr>
        <w:fldChar w:fldCharType="begin"/>
      </w:r>
      <w:r w:rsidR="00462010">
        <w:rPr>
          <w:iCs/>
        </w:rPr>
        <w:instrText xml:space="preserve"> REF _Ref37547757 \n </w:instrText>
      </w:r>
      <w:r w:rsidR="00462010">
        <w:rPr>
          <w:iCs/>
        </w:rPr>
        <w:fldChar w:fldCharType="separate"/>
      </w:r>
      <w:r w:rsidR="00FF1B3A">
        <w:rPr>
          <w:iCs/>
        </w:rPr>
        <w:t>[40]</w:t>
      </w:r>
      <w:r w:rsidR="00462010">
        <w:rPr>
          <w:iCs/>
        </w:rPr>
        <w:fldChar w:fldCharType="end"/>
      </w:r>
      <w:r w:rsidR="00462010">
        <w:rPr>
          <w:iCs/>
        </w:rPr>
        <w:t xml:space="preserve"> </w:t>
      </w:r>
      <w:r w:rsidR="00CB514F">
        <w:rPr>
          <w:iCs/>
        </w:rPr>
        <w:t xml:space="preserve">that has been manually annotated. </w:t>
      </w:r>
      <w:r w:rsidR="00D06CC3">
        <w:rPr>
          <w:iCs/>
        </w:rPr>
        <w:t xml:space="preserve">An overview of the corpus is given in </w:t>
      </w:r>
      <w:r w:rsidR="00D06CC3">
        <w:rPr>
          <w:iCs/>
        </w:rPr>
        <w:fldChar w:fldCharType="begin"/>
      </w:r>
      <w:r w:rsidR="00D06CC3">
        <w:rPr>
          <w:iCs/>
        </w:rPr>
        <w:instrText xml:space="preserve"> REF _Ref499127657 \* mergeformat</w:instrText>
      </w:r>
      <w:r w:rsidR="00D06CC3">
        <w:rPr>
          <w:iCs/>
        </w:rPr>
        <w:fldChar w:fldCharType="separate"/>
      </w:r>
      <w:r w:rsidR="00FF1B3A" w:rsidRPr="00E91D8D">
        <w:rPr>
          <w:iCs/>
        </w:rPr>
        <w:t>Table 1</w:t>
      </w:r>
      <w:r w:rsidR="00D06CC3">
        <w:rPr>
          <w:iCs/>
        </w:rPr>
        <w:fldChar w:fldCharType="end"/>
      </w:r>
      <w:r w:rsidR="00D06CC3">
        <w:rPr>
          <w:iCs/>
        </w:rPr>
        <w:t xml:space="preserve">. This is the largest open source corpus of its type. It consists of clinical data collected at Temple University </w:t>
      </w:r>
      <w:r w:rsidR="00CB514F">
        <w:rPr>
          <w:iCs/>
        </w:rPr>
        <w:t xml:space="preserve">Hospital. TUSZ </w:t>
      </w:r>
      <w:r w:rsidR="00D06CC3">
        <w:rPr>
          <w:iCs/>
        </w:rPr>
        <w:t xml:space="preserve">represents a very challenging machine learning task because it contains a rich variety of common real-world problems </w:t>
      </w:r>
      <w:r w:rsidR="00AD6657">
        <w:rPr>
          <w:iCs/>
        </w:rPr>
        <w:t xml:space="preserve">(e.g. patient movements and artifacts) </w:t>
      </w:r>
      <w:r w:rsidR="00D06CC3">
        <w:rPr>
          <w:iCs/>
        </w:rPr>
        <w:t xml:space="preserve">found in clinical data </w:t>
      </w:r>
      <w:r w:rsidR="00AD6657">
        <w:rPr>
          <w:iCs/>
        </w:rPr>
        <w:t xml:space="preserve">as well as various types of seizures </w:t>
      </w:r>
      <w:r w:rsidR="00D06CC3">
        <w:rPr>
          <w:iCs/>
        </w:rPr>
        <w:t xml:space="preserve">(e.g., </w:t>
      </w:r>
      <w:r w:rsidR="00306834">
        <w:rPr>
          <w:iCs/>
        </w:rPr>
        <w:t xml:space="preserve">absence, </w:t>
      </w:r>
      <w:r w:rsidR="00FD0776">
        <w:rPr>
          <w:iCs/>
        </w:rPr>
        <w:t>tonic-clonic</w:t>
      </w:r>
      <w:r w:rsidR="00306834">
        <w:rPr>
          <w:iCs/>
        </w:rPr>
        <w:t>).</w:t>
      </w:r>
      <w:r w:rsidR="00D06CC3">
        <w:rPr>
          <w:iCs/>
        </w:rPr>
        <w:t xml:space="preserve"> </w:t>
      </w:r>
      <w:r w:rsidR="00230815">
        <w:rPr>
          <w:iCs/>
        </w:rPr>
        <w:t xml:space="preserve">It is worth noting </w:t>
      </w:r>
      <w:r>
        <w:rPr>
          <w:iCs/>
        </w:rPr>
        <w:t xml:space="preserve">that seizure data represents an extremely unbalanced data set – </w:t>
      </w:r>
      <w:r w:rsidR="00230815">
        <w:rPr>
          <w:iCs/>
        </w:rPr>
        <w:t xml:space="preserve">only </w:t>
      </w:r>
      <w:r>
        <w:rPr>
          <w:iCs/>
        </w:rPr>
        <w:t xml:space="preserve">about 8% of the data </w:t>
      </w:r>
      <w:r w:rsidR="00230815">
        <w:rPr>
          <w:iCs/>
        </w:rPr>
        <w:t>are annotated as seizure</w:t>
      </w:r>
      <w:r>
        <w:rPr>
          <w:iCs/>
        </w:rPr>
        <w:t xml:space="preserve"> events</w:t>
      </w:r>
      <w:r w:rsidR="00230815">
        <w:rPr>
          <w:iCs/>
        </w:rPr>
        <w:t>.</w:t>
      </w:r>
    </w:p>
    <w:p w14:paraId="2782456D" w14:textId="54733181" w:rsidR="00D06CC3" w:rsidRDefault="00AD6657" w:rsidP="0083510A">
      <w:pPr>
        <w:pStyle w:val="BodyText"/>
      </w:pPr>
      <w:r w:rsidRPr="00EF070A">
        <w:rPr>
          <w:iCs/>
        </w:rPr>
        <w:t xml:space="preserve">The version of the seizure database used for this study was v1.1.1 which contains 196 patients in </w:t>
      </w:r>
      <w:r w:rsidR="00985E92">
        <w:rPr>
          <w:iCs/>
        </w:rPr>
        <w:t xml:space="preserve">the </w:t>
      </w:r>
      <w:r w:rsidRPr="00EF070A">
        <w:rPr>
          <w:iCs/>
        </w:rPr>
        <w:t>training</w:t>
      </w:r>
      <w:r w:rsidR="00985E92">
        <w:rPr>
          <w:iCs/>
        </w:rPr>
        <w:t xml:space="preserve"> set</w:t>
      </w:r>
      <w:r w:rsidRPr="00EF070A">
        <w:rPr>
          <w:iCs/>
        </w:rPr>
        <w:t xml:space="preserve"> and </w:t>
      </w:r>
      <w:r w:rsidR="00D06CC3" w:rsidRPr="004534C9">
        <w:rPr>
          <w:iCs/>
        </w:rPr>
        <w:t>50</w:t>
      </w:r>
      <w:r w:rsidR="00D06CC3" w:rsidRPr="00EF070A">
        <w:rPr>
          <w:iCs/>
        </w:rPr>
        <w:t xml:space="preserve"> patients in the evaluation </w:t>
      </w:r>
      <w:r w:rsidR="00985E92">
        <w:rPr>
          <w:iCs/>
        </w:rPr>
        <w:t>set</w:t>
      </w:r>
      <w:r w:rsidR="00D06CC3" w:rsidRPr="00EF070A">
        <w:rPr>
          <w:iCs/>
        </w:rPr>
        <w:t xml:space="preserve">, making it </w:t>
      </w:r>
      <w:r w:rsidR="00306834">
        <w:rPr>
          <w:iCs/>
        </w:rPr>
        <w:t xml:space="preserve">adequate </w:t>
      </w:r>
      <w:r w:rsidR="00D06CC3" w:rsidRPr="00EF070A">
        <w:rPr>
          <w:iCs/>
        </w:rPr>
        <w:t>to accurately assess fine differences in algorithm performance</w:t>
      </w:r>
      <w:r w:rsidRPr="00EF070A">
        <w:rPr>
          <w:iCs/>
        </w:rPr>
        <w:t xml:space="preserve"> for machine learning algorithms. </w:t>
      </w:r>
      <w:r w:rsidR="00EF070A">
        <w:rPr>
          <w:iCs/>
        </w:rPr>
        <w:t>Although</w:t>
      </w:r>
      <w:r w:rsidR="0053088E">
        <w:rPr>
          <w:iCs/>
        </w:rPr>
        <w:t xml:space="preserve"> </w:t>
      </w:r>
      <w:r w:rsidR="00EF070A">
        <w:rPr>
          <w:iCs/>
        </w:rPr>
        <w:t xml:space="preserve">this </w:t>
      </w:r>
      <w:r w:rsidRPr="00EF070A">
        <w:rPr>
          <w:iCs/>
        </w:rPr>
        <w:t>database provides event</w:t>
      </w:r>
      <w:r w:rsidR="00EF070A">
        <w:rPr>
          <w:iCs/>
        </w:rPr>
        <w:t>-</w:t>
      </w:r>
      <w:r w:rsidRPr="00EF070A">
        <w:rPr>
          <w:iCs/>
        </w:rPr>
        <w:t>based as well as term-based annotations</w:t>
      </w:r>
      <w:r w:rsidR="00EF070A">
        <w:rPr>
          <w:iCs/>
        </w:rPr>
        <w:t>,</w:t>
      </w:r>
      <w:r w:rsidRPr="00EF070A">
        <w:rPr>
          <w:iCs/>
        </w:rPr>
        <w:t xml:space="preserve"> for our study</w:t>
      </w:r>
      <w:r w:rsidR="00EE32FA">
        <w:rPr>
          <w:iCs/>
        </w:rPr>
        <w:t xml:space="preserve"> </w:t>
      </w:r>
      <w:r w:rsidRPr="00EF070A">
        <w:rPr>
          <w:iCs/>
        </w:rPr>
        <w:t xml:space="preserve">we only </w:t>
      </w:r>
      <w:r w:rsidR="00EE32FA">
        <w:rPr>
          <w:iCs/>
        </w:rPr>
        <w:t xml:space="preserve">used the </w:t>
      </w:r>
      <w:r w:rsidRPr="00EF070A">
        <w:rPr>
          <w:iCs/>
        </w:rPr>
        <w:t>term</w:t>
      </w:r>
      <w:r w:rsidR="0053088E">
        <w:rPr>
          <w:iCs/>
        </w:rPr>
        <w:softHyphen/>
        <w:t>–</w:t>
      </w:r>
      <w:r w:rsidRPr="00EF070A">
        <w:rPr>
          <w:iCs/>
        </w:rPr>
        <w:t xml:space="preserve">based </w:t>
      </w:r>
      <w:r w:rsidR="0053088E">
        <w:rPr>
          <w:iCs/>
        </w:rPr>
        <w:t>annotations: a single decision is made at each point in time based on examination of all channels. Though annotations are channel-based (each channel is annotated independently), these annotations are aggregated to produce a single decision at each point in time. More information about the annotation process is available in Ochal et al.</w:t>
      </w:r>
      <w:r w:rsidR="00DB4DC5">
        <w:rPr>
          <w:iCs/>
        </w:rPr>
        <w:t> </w:t>
      </w:r>
      <w:r w:rsidR="004F7E86">
        <w:rPr>
          <w:iCs/>
        </w:rPr>
        <w:fldChar w:fldCharType="begin"/>
      </w:r>
      <w:r w:rsidR="004F7E86">
        <w:rPr>
          <w:iCs/>
        </w:rPr>
        <w:instrText xml:space="preserve"> REF _Ref37284439 \n </w:instrText>
      </w:r>
      <w:r w:rsidR="004F7E86">
        <w:rPr>
          <w:iCs/>
        </w:rPr>
        <w:fldChar w:fldCharType="separate"/>
      </w:r>
      <w:r w:rsidR="00FF1B3A">
        <w:rPr>
          <w:iCs/>
        </w:rPr>
        <w:t>[41]</w:t>
      </w:r>
      <w:r w:rsidR="004F7E86">
        <w:rPr>
          <w:iCs/>
        </w:rPr>
        <w:fldChar w:fldCharType="end"/>
      </w:r>
      <w:r w:rsidR="00DB4DC5">
        <w:rPr>
          <w:iCs/>
        </w:rPr>
        <w:t>.</w:t>
      </w:r>
    </w:p>
    <w:p w14:paraId="6FB8CFB8" w14:textId="1B19532E" w:rsidR="005F55DC" w:rsidRDefault="00D06CC3" w:rsidP="0083510A">
      <w:pPr>
        <w:pStyle w:val="heading2"/>
      </w:pPr>
      <w:r>
        <w:t>Machine Learning Architectures</w:t>
      </w:r>
    </w:p>
    <w:p w14:paraId="18C09D2C" w14:textId="28E5B08D" w:rsidR="00AD6657" w:rsidRDefault="00AD6657" w:rsidP="00AD6657">
      <w:pPr>
        <w:pStyle w:val="BodyText"/>
      </w:pPr>
      <w:r w:rsidRPr="00EA2E48">
        <w:t>For EEG signals, it is appropriate to use algorithms which can learn spatial as well as temporal context efficiently. Sequential algorithms such as hidden Markov models (HMMs), recurrent neural networks (RNNs)</w:t>
      </w:r>
      <w:r w:rsidR="00CA3D06">
        <w:t xml:space="preserve"> </w:t>
      </w:r>
      <w:r w:rsidRPr="00EA2E48">
        <w:t xml:space="preserve">and convolutional neural networks (CNNs) are perfect candidates </w:t>
      </w:r>
      <w:r>
        <w:t>as the building blocks of the recognition system. We develop</w:t>
      </w:r>
      <w:r w:rsidR="00EE32FA">
        <w:t xml:space="preserve">ed </w:t>
      </w:r>
      <w:r>
        <w:t xml:space="preserve">five different hybrid networks which use these </w:t>
      </w:r>
      <w:r w:rsidR="00EA2E48">
        <w:t>algorithms in their system design</w:t>
      </w:r>
      <w:r w:rsidR="00EE32FA">
        <w:t xml:space="preserve"> so that we had a variety of classification algorithms represented in our study</w:t>
      </w:r>
      <w:r w:rsidR="00EA2E48">
        <w:t>.</w:t>
      </w:r>
      <w:r>
        <w:t xml:space="preserve"> </w:t>
      </w:r>
      <w:r w:rsidR="00D06CC3" w:rsidRPr="00D06CC3">
        <w:t xml:space="preserve">A general architecture for the five machine learning systems evaluated is shown in </w:t>
      </w:r>
      <w:r w:rsidR="00720FCA">
        <w:fldChar w:fldCharType="begin"/>
      </w:r>
      <w:r w:rsidR="00720FCA">
        <w:instrText xml:space="preserve"> REF _Ref499208491 \* mergeformat</w:instrText>
      </w:r>
      <w:r w:rsidR="00720FCA">
        <w:fldChar w:fldCharType="separate"/>
      </w:r>
      <w:r w:rsidR="00FF1B3A" w:rsidRPr="00E91D8D">
        <w:t>Figure 10</w:t>
      </w:r>
      <w:r w:rsidR="00720FCA">
        <w:fldChar w:fldCharType="end"/>
      </w:r>
      <w:r w:rsidR="00D06CC3" w:rsidRPr="00D06CC3">
        <w:t xml:space="preserve">. </w:t>
      </w:r>
    </w:p>
    <w:p w14:paraId="1C2E08BE" w14:textId="7A04CE67" w:rsidR="004F7E86" w:rsidRDefault="004F7E86" w:rsidP="00AD6657">
      <w:pPr>
        <w:pStyle w:val="BodyText"/>
      </w:pPr>
      <w:r>
        <w:t>The first step in this architecture is to convert a</w:t>
      </w:r>
      <w:r w:rsidR="00D06CC3" w:rsidRPr="00D06CC3">
        <w:t>n EEG signal</w:t>
      </w:r>
      <w:r w:rsidR="00CA3D06">
        <w:t xml:space="preserve">, typically stored in </w:t>
      </w:r>
      <w:r w:rsidR="00D06CC3" w:rsidRPr="00D06CC3">
        <w:t>a European Data Format (EDF) file</w:t>
      </w:r>
      <w:r w:rsidR="00CA3D06">
        <w:t> </w:t>
      </w:r>
      <w:r w:rsidR="00720FCA">
        <w:fldChar w:fldCharType="begin"/>
      </w:r>
      <w:r w:rsidR="00720FCA">
        <w:instrText xml:space="preserve"> REF _Ref37284412 \n </w:instrText>
      </w:r>
      <w:r w:rsidR="00720FCA">
        <w:fldChar w:fldCharType="separate"/>
      </w:r>
      <w:r w:rsidR="00FF1B3A">
        <w:t>[42]</w:t>
      </w:r>
      <w:r w:rsidR="00720FCA">
        <w:fldChar w:fldCharType="end"/>
      </w:r>
      <w:r w:rsidR="00CA3D06">
        <w:t>,</w:t>
      </w:r>
      <w:r>
        <w:t xml:space="preserve"> </w:t>
      </w:r>
      <w:r w:rsidR="00D06CC3" w:rsidRPr="00D06CC3">
        <w:t>to a sequence of feature vectors.</w:t>
      </w:r>
      <w:r>
        <w:t xml:space="preserve"> </w:t>
      </w:r>
      <w:r w:rsidR="002264CD">
        <w:t>Linear Frequency Cepstral Coefficient</w:t>
      </w:r>
      <w:r>
        <w:t xml:space="preserve">s </w:t>
      </w:r>
      <w:r w:rsidR="002264CD">
        <w:t>features</w:t>
      </w:r>
      <w:r>
        <w:t> </w:t>
      </w:r>
      <w:r w:rsidR="00720FCA">
        <w:fldChar w:fldCharType="begin"/>
      </w:r>
      <w:r w:rsidR="00720FCA">
        <w:instrText xml:space="preserve"> REF _Ref37284719 \n </w:instrText>
      </w:r>
      <w:r w:rsidR="00720FCA">
        <w:fldChar w:fldCharType="separate"/>
      </w:r>
      <w:r w:rsidR="00FF1B3A">
        <w:t>[43]</w:t>
      </w:r>
      <w:r w:rsidR="00720FCA">
        <w:fldChar w:fldCharType="end"/>
      </w:r>
      <w:r>
        <w:t xml:space="preserve"> </w:t>
      </w:r>
      <w:r w:rsidR="002264CD">
        <w:t xml:space="preserve">are created using </w:t>
      </w:r>
      <w:r>
        <w:t xml:space="preserve">a </w:t>
      </w:r>
      <m:oMath>
        <m:r>
          <w:rPr>
            <w:rFonts w:ascii="Cambria Math" w:hAnsi="Cambria Math"/>
          </w:rPr>
          <m:t>0.1 </m:t>
        </m:r>
        <m:r>
          <w:rPr>
            <w:rFonts w:ascii="Cambria Math" w:hAnsi="Cambria Math"/>
          </w:rPr>
          <m:t>sec</m:t>
        </m:r>
      </m:oMath>
      <w:r w:rsidR="002264CD">
        <w:t xml:space="preserve"> frame duration and </w:t>
      </w:r>
      <w:r>
        <w:t xml:space="preserve">a </w:t>
      </w:r>
      <m:oMath>
        <m:r>
          <w:rPr>
            <w:rFonts w:ascii="Cambria Math" w:hAnsi="Cambria Math"/>
          </w:rPr>
          <m:t>0.2 </m:t>
        </m:r>
        <m:r>
          <w:rPr>
            <w:rFonts w:ascii="Cambria Math" w:hAnsi="Cambria Math"/>
          </w:rPr>
          <m:t>sec</m:t>
        </m:r>
      </m:oMath>
      <w:r w:rsidR="00EE32FA">
        <w:t xml:space="preserve"> </w:t>
      </w:r>
      <w:r w:rsidR="002264CD">
        <w:t xml:space="preserve">analysis window for each channel. We use </w:t>
      </w:r>
      <w:r>
        <w:t xml:space="preserve">the </w:t>
      </w:r>
      <w:r w:rsidR="002264CD">
        <w:t xml:space="preserve">first </w:t>
      </w:r>
      <m:oMath>
        <m:r>
          <w:rPr>
            <w:rFonts w:ascii="Cambria Math" w:hAnsi="Cambria Math"/>
          </w:rPr>
          <m:t>7</m:t>
        </m:r>
      </m:oMath>
      <w:r w:rsidR="002264CD">
        <w:t xml:space="preserve"> cepstral coefficients </w:t>
      </w:r>
      <w:r w:rsidR="002264CD">
        <w:lastRenderedPageBreak/>
        <w:t>along with their first and second derivatives.</w:t>
      </w:r>
      <w:r>
        <w:t xml:space="preserve"> We add several energy terms which bring the total feature vector dimension to </w:t>
      </w:r>
      <m:oMath>
        <m:r>
          <w:rPr>
            <w:rFonts w:ascii="Cambria Math" w:hAnsi="Cambria Math"/>
          </w:rPr>
          <m:t>26</m:t>
        </m:r>
      </m:oMath>
      <w:r>
        <w:t>. Attempts to circumvent the feature extraction process by us</w:t>
      </w:r>
      <w:r w:rsidR="002A1756">
        <w:t>i</w:t>
      </w:r>
      <w:r>
        <w:t xml:space="preserve">ng a deep </w:t>
      </w:r>
      <w:r w:rsidR="00D03FC9">
        <w:t>learning-based</w:t>
      </w:r>
      <w:r>
        <w:t xml:space="preserve"> approach have not produced significantly better results than these model-based features. </w:t>
      </w:r>
    </w:p>
    <w:p w14:paraId="55FB2C91" w14:textId="25ED6887" w:rsidR="00D06CC3" w:rsidRPr="00D06CC3" w:rsidRDefault="00EE32FA" w:rsidP="00AD6657">
      <w:pPr>
        <w:pStyle w:val="BodyText"/>
      </w:pPr>
      <w:r>
        <w:rPr>
          <w:noProof/>
          <w:sz w:val="24"/>
          <w:szCs w:val="24"/>
        </w:rPr>
        <mc:AlternateContent>
          <mc:Choice Requires="wps">
            <w:drawing>
              <wp:anchor distT="137160" distB="137160" distL="137160" distR="137160" simplePos="0" relativeHeight="251677696" behindDoc="0" locked="0" layoutInCell="1" allowOverlap="0" wp14:anchorId="01AF23CA" wp14:editId="271CEF66">
                <wp:simplePos x="0" y="0"/>
                <wp:positionH relativeFrom="margin">
                  <wp:align>center</wp:align>
                </wp:positionH>
                <wp:positionV relativeFrom="margin">
                  <wp:align>top</wp:align>
                </wp:positionV>
                <wp:extent cx="4361688" cy="2221992"/>
                <wp:effectExtent l="0" t="0" r="7620" b="133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2221992"/>
                        </a:xfrm>
                        <a:prstGeom prst="rect">
                          <a:avLst/>
                        </a:prstGeom>
                        <a:solidFill>
                          <a:srgbClr val="FFFFFF"/>
                        </a:solidFill>
                        <a:ln w="9525">
                          <a:solidFill>
                            <a:schemeClr val="bg1">
                              <a:lumMod val="100000"/>
                              <a:lumOff val="0"/>
                            </a:schemeClr>
                          </a:solidFill>
                          <a:miter lim="800000"/>
                          <a:headEnd/>
                          <a:tailEnd/>
                        </a:ln>
                      </wps:spPr>
                      <wps:txbx>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35"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35"/>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23CA" id="Text Box 25" o:spid="_x0000_s1035" type="#_x0000_t202" style="position:absolute;left:0;text-align:left;margin-left:0;margin-top:0;width:343.45pt;height:174.95pt;z-index:25167769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" o:allowoverlap="f" strokecolor="white [3212]">
                <v:textbox inset="0,0,0,0">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643"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643"/>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v:textbox>
                <w10:wrap type="square" anchorx="margin" anchory="margin"/>
              </v:shape>
            </w:pict>
          </mc:Fallback>
        </mc:AlternateContent>
      </w:r>
      <w:r w:rsidR="00D06CC3" w:rsidRPr="00D06CC3">
        <w:t xml:space="preserve">A group of frames are classified into an event on a per-channel basis using </w:t>
      </w:r>
      <w:r w:rsidR="00D03FC9">
        <w:t xml:space="preserve">a </w:t>
      </w:r>
      <w:r w:rsidR="00D06CC3" w:rsidRPr="00D06CC3">
        <w:t>combination of deep learning networks. The deep learning system essentially looks across multiple epochs, which we refer to as</w:t>
      </w:r>
      <w:r>
        <w:t xml:space="preserve"> </w:t>
      </w:r>
      <w:r w:rsidR="00D06CC3" w:rsidRPr="00D06CC3">
        <w:t>temporal context, and multiple channels, which we refer to as</w:t>
      </w:r>
      <w:r>
        <w:t xml:space="preserve"> </w:t>
      </w:r>
      <w:r w:rsidR="00D06CC3" w:rsidRPr="00D06CC3">
        <w:t>spatial context</w:t>
      </w:r>
      <w:r>
        <w:t xml:space="preserve">, </w:t>
      </w:r>
      <w:r w:rsidR="00D06CC3" w:rsidRPr="00D06CC3">
        <w:t xml:space="preserve">since each channel is associated with a location of an electrode on a patient’s </w:t>
      </w:r>
      <w:r>
        <w:t>scalp</w:t>
      </w:r>
      <w:r w:rsidR="00D06CC3" w:rsidRPr="00D06CC3">
        <w:t>. There are a wide variety of algorithms that can be used to produce a decision from these inputs. Even though seizures occur on a subset of the channels input to such a system, we focus on a single decision made across all channels at each point in time.</w:t>
      </w:r>
    </w:p>
    <w:p w14:paraId="1FE98EF2" w14:textId="5FEDE9C9" w:rsidR="00D06CC3" w:rsidRDefault="00D06CC3" w:rsidP="004534C9">
      <w:pPr>
        <w:pStyle w:val="BodyText"/>
        <w:ind w:firstLine="230"/>
      </w:pPr>
      <w:r w:rsidRPr="00D06CC3">
        <w:t xml:space="preserve">The five systems </w:t>
      </w:r>
      <w:r w:rsidR="00EE13D4">
        <w:t xml:space="preserve">we included in this study </w:t>
      </w:r>
      <w:r w:rsidRPr="00D06CC3">
        <w:t xml:space="preserve">were carefully </w:t>
      </w:r>
      <w:r w:rsidR="00EE13D4">
        <w:t xml:space="preserve">selected </w:t>
      </w:r>
      <w:r w:rsidRPr="00D06CC3">
        <w:t xml:space="preserve">because they represent a range of performance that is representative of state of the art on this task and because these systems exhibit different error modalities. The performance of these systems is sufficiently close so that the impact of these different scoring metrics becomes apparent. The systems selected </w:t>
      </w:r>
      <w:r w:rsidR="00EE13D4">
        <w:t>are briefly described below.</w:t>
      </w:r>
    </w:p>
    <w:p w14:paraId="5E1D8C57" w14:textId="1FCFD76A" w:rsidR="00D06CC3" w:rsidRDefault="00D06CC3" w:rsidP="001D532F">
      <w:pPr>
        <w:pStyle w:val="BodyText"/>
        <w:numPr>
          <w:ilvl w:val="0"/>
          <w:numId w:val="23"/>
        </w:numPr>
        <w:ind w:left="540"/>
      </w:pPr>
      <w:r w:rsidRPr="004534C9">
        <w:rPr>
          <w:i/>
          <w:iCs/>
        </w:rPr>
        <w:t>HMM/SdA</w:t>
      </w:r>
      <w:r w:rsidR="0042433B">
        <w:rPr>
          <w:i/>
          <w:iCs/>
        </w:rPr>
        <w:fldChar w:fldCharType="begin"/>
      </w:r>
      <w:r w:rsidR="0042433B">
        <w:rPr>
          <w:i/>
          <w:iCs/>
        </w:rPr>
        <w:instrText xml:space="preserve"> REF _Ref37285799 \n </w:instrText>
      </w:r>
      <w:r w:rsidR="0042433B">
        <w:rPr>
          <w:i/>
          <w:iCs/>
        </w:rPr>
        <w:fldChar w:fldCharType="separate"/>
      </w:r>
      <w:r w:rsidR="00FF1B3A">
        <w:rPr>
          <w:i/>
          <w:iCs/>
        </w:rPr>
        <w:t>[44]</w:t>
      </w:r>
      <w:r w:rsidR="0042433B">
        <w:rPr>
          <w:i/>
          <w:iCs/>
        </w:rPr>
        <w:fldChar w:fldCharType="end"/>
      </w:r>
      <w:r w:rsidRPr="004534C9">
        <w:rPr>
          <w:i/>
          <w:iCs/>
        </w:rPr>
        <w:t>:</w:t>
      </w:r>
      <w:r w:rsidRPr="004534C9">
        <w:t xml:space="preserve"> a hybrid system consisting of a hidden Markov model (HMM) decoder and a postprocessor that uses a Stacked Denoising Autoencoder (SdA). An N-channel EEG was transformed into N independent feature streams using a standard sliding </w:t>
      </w:r>
      <w:r w:rsidR="00EA51FD" w:rsidRPr="004534C9">
        <w:t>window-based</w:t>
      </w:r>
      <w:r w:rsidRPr="004534C9">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164CF183" w14:textId="0AA5A24E" w:rsidR="0042433B" w:rsidRPr="00691D5D" w:rsidRDefault="0042433B" w:rsidP="004534C9">
      <w:pPr>
        <w:pStyle w:val="BodyText"/>
        <w:ind w:left="540" w:firstLine="0"/>
      </w:pPr>
      <w:r w:rsidRPr="00691D5D">
        <w:t xml:space="preserve">Standard three state left-to-right HMMs with </w:t>
      </w:r>
      <m:oMath>
        <m:r>
          <w:rPr>
            <w:rFonts w:ascii="Cambria Math" w:hAnsi="Cambria Math"/>
          </w:rPr>
          <m:t>8</m:t>
        </m:r>
      </m:oMath>
      <w:r w:rsidRPr="00691D5D">
        <w:t xml:space="preserve"> Gaussian mixture components per state were used for sequential decoding. We divide each channel of an EEG </w:t>
      </w:r>
      <w:r w:rsidRPr="00691D5D">
        <w:lastRenderedPageBreak/>
        <w:t>into 1</w:t>
      </w:r>
      <w:r w:rsidR="00EE32FA">
        <w:t> </w:t>
      </w:r>
      <w:r w:rsidRPr="00691D5D">
        <w:t>sec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5C234050" w14:textId="5574560F" w:rsidR="0042433B" w:rsidRPr="004534C9" w:rsidRDefault="0042433B" w:rsidP="004534C9">
      <w:pPr>
        <w:pStyle w:val="BodyText"/>
        <w:ind w:left="540" w:firstLine="0"/>
      </w:pPr>
      <w:r w:rsidRPr="00691D5D">
        <w:t xml:space="preserve">The output of the epoch-based decisions was postprocessed by a deep learning system. The SdA network has three hidden layers with corruption levels of </w:t>
      </w:r>
      <m:oMath>
        <m:r>
          <w:rPr>
            <w:rFonts w:ascii="Cambria Math" w:hAnsi="Cambria Math"/>
          </w:rPr>
          <m:t>0.3</m:t>
        </m:r>
      </m:oMath>
      <w:r w:rsidRPr="00691D5D">
        <w:t xml:space="preserve"> for each layer. The</w:t>
      </w:r>
      <w:r w:rsidR="00D03FC9">
        <w:t xml:space="preserve">re are </w:t>
      </w:r>
      <m:oMath>
        <m:r>
          <w:rPr>
            <w:rFonts w:ascii="Cambria Math" w:hAnsi="Cambria Math"/>
          </w:rPr>
          <m:t>800</m:t>
        </m:r>
      </m:oMath>
      <w:r w:rsidR="00D03FC9">
        <w:t xml:space="preserve"> nodes in the </w:t>
      </w:r>
      <w:r w:rsidRPr="00691D5D">
        <w:t>first layer</w:t>
      </w:r>
      <w:r w:rsidR="00D03FC9">
        <w:t xml:space="preserve">, </w:t>
      </w:r>
      <m:oMath>
        <m:r>
          <w:rPr>
            <w:rFonts w:ascii="Cambria Math" w:hAnsi="Cambria Math"/>
          </w:rPr>
          <m:t>500</m:t>
        </m:r>
      </m:oMath>
      <w:r w:rsidR="00D03FC9">
        <w:t xml:space="preserve"> nodes in the second layer</w:t>
      </w:r>
      <w:r w:rsidR="00EE32FA">
        <w:t xml:space="preserve"> </w:t>
      </w:r>
      <w:r w:rsidR="00D03FC9">
        <w:t xml:space="preserve">and </w:t>
      </w:r>
      <m:oMath>
        <m:r>
          <w:rPr>
            <w:rFonts w:ascii="Cambria Math" w:hAnsi="Cambria Math"/>
          </w:rPr>
          <m:t>300</m:t>
        </m:r>
      </m:oMath>
      <w:r w:rsidR="00D03FC9">
        <w:t xml:space="preserve"> nodes in the </w:t>
      </w:r>
      <w:r w:rsidRPr="00691D5D">
        <w:t>third layer. The parameters for pre-training are: learning rate</w:t>
      </w:r>
      <w:r w:rsidR="00EA51FD">
        <w:t> </w:t>
      </w:r>
      <m:oMath>
        <m:r>
          <w:rPr>
            <w:rFonts w:ascii="Cambria Math" w:hAnsi="Cambria Math"/>
          </w:rPr>
          <m:t>= 0.5</m:t>
        </m:r>
      </m:oMath>
      <w:r w:rsidRPr="00691D5D">
        <w:t xml:space="preserve">, number of epochs </w:t>
      </w:r>
      <m:oMath>
        <m:r>
          <w:rPr>
            <w:rFonts w:ascii="Cambria Math" w:hAnsi="Cambria Math"/>
          </w:rPr>
          <m:t>= 150</m:t>
        </m:r>
      </m:oMath>
      <w:r w:rsidRPr="00691D5D">
        <w:t xml:space="preserve">, batch size </w:t>
      </w:r>
      <m:oMath>
        <m:r>
          <w:rPr>
            <w:rFonts w:ascii="Cambria Math" w:hAnsi="Cambria Math"/>
          </w:rPr>
          <m:t>= 300</m:t>
        </m:r>
      </m:oMath>
      <w:r w:rsidRPr="00691D5D">
        <w:t xml:space="preserve">. The parameters for fine-tuning are: learning rate </w:t>
      </w:r>
      <m:oMath>
        <m:r>
          <w:rPr>
            <w:rFonts w:ascii="Cambria Math" w:hAnsi="Cambria Math"/>
          </w:rPr>
          <m:t>= 0.1</m:t>
        </m:r>
      </m:oMath>
      <w:r w:rsidRPr="00691D5D">
        <w:t xml:space="preserve">, number of epochs </w:t>
      </w:r>
      <m:oMath>
        <m:r>
          <w:rPr>
            <w:rFonts w:ascii="Cambria Math" w:hAnsi="Cambria Math"/>
          </w:rPr>
          <m:t>= 300</m:t>
        </m:r>
      </m:oMath>
      <w:r w:rsidRPr="00691D5D">
        <w:t>, batch size</w:t>
      </w:r>
      <w:r w:rsidR="00EE32FA">
        <w:t> </w:t>
      </w:r>
      <w:r w:rsidRPr="00691D5D">
        <w:t>=</w:t>
      </w:r>
      <m:oMath>
        <m:r>
          <w:rPr>
            <w:rFonts w:ascii="Cambria Math" w:hAnsi="Cambria Math"/>
          </w:rPr>
          <m:t> </m:t>
        </m:r>
        <m:r>
          <w:rPr>
            <w:rFonts w:ascii="Cambria Math" w:hAnsi="Cambria Math"/>
          </w:rPr>
          <m:t>100</m:t>
        </m:r>
      </m:oMath>
      <w:r w:rsidRPr="00691D5D">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4E76BBB7" w14:textId="6B166F0A" w:rsidR="00D06CC3" w:rsidRPr="004534C9" w:rsidRDefault="00D06CC3" w:rsidP="00087013">
      <w:pPr>
        <w:pStyle w:val="BodyText"/>
        <w:widowControl w:val="0"/>
        <w:numPr>
          <w:ilvl w:val="0"/>
          <w:numId w:val="23"/>
        </w:numPr>
        <w:ind w:left="547"/>
      </w:pPr>
      <w:r w:rsidRPr="004534C9">
        <w:rPr>
          <w:i/>
          <w:iCs/>
        </w:rPr>
        <w:t>HMM/LSTM</w:t>
      </w:r>
      <w:r w:rsidR="00EA51FD">
        <w:rPr>
          <w:i/>
          <w:iCs/>
        </w:rPr>
        <w:t> </w:t>
      </w:r>
      <w:r w:rsidR="00EA51FD" w:rsidRPr="00691D5D">
        <w:rPr>
          <w:i/>
          <w:iCs/>
        </w:rPr>
        <w:fldChar w:fldCharType="begin"/>
      </w:r>
      <w:r w:rsidR="00EA51FD" w:rsidRPr="00691D5D">
        <w:rPr>
          <w:i/>
          <w:iCs/>
        </w:rPr>
        <w:instrText xml:space="preserve"> REF _Ref37286090 \n </w:instrText>
      </w:r>
      <w:r w:rsidR="00EA51FD">
        <w:rPr>
          <w:i/>
          <w:iCs/>
        </w:rPr>
        <w:instrText xml:space="preserve"> \* MERGEFORMAT </w:instrText>
      </w:r>
      <w:r w:rsidR="00EA51FD" w:rsidRPr="00691D5D">
        <w:rPr>
          <w:i/>
          <w:iCs/>
        </w:rPr>
        <w:fldChar w:fldCharType="separate"/>
      </w:r>
      <w:r w:rsidR="00FF1B3A">
        <w:rPr>
          <w:i/>
          <w:iCs/>
        </w:rPr>
        <w:t>[44]</w:t>
      </w:r>
      <w:r w:rsidR="00EA51FD" w:rsidRPr="00691D5D">
        <w:rPr>
          <w:i/>
          <w:iCs/>
        </w:rPr>
        <w:fldChar w:fldCharType="end"/>
      </w:r>
      <w:r w:rsidRPr="004534C9">
        <w:rPr>
          <w:i/>
          <w:iCs/>
        </w:rPr>
        <w:t xml:space="preserve">: </w:t>
      </w:r>
      <w:r w:rsidRPr="004534C9">
        <w:t>an HMM decoder postprocessed by a Long Short</w:t>
      </w:r>
      <w:r w:rsidRPr="004534C9">
        <w:noBreakHyphen/>
        <w:t>Term Memory (LSTM) network. Like the HMM/SdA hybrid approach previously described, the output of the HMM system is a vector of dimension</w:t>
      </w:r>
      <w:r w:rsidR="00D853DD">
        <w:t>:</w:t>
      </w:r>
      <w:r w:rsidRPr="004534C9">
        <w:t xml:space="preserve"> </w:t>
      </w:r>
      <w:r w:rsidR="00D853DD">
        <w:t>number of classes (</w:t>
      </w:r>
      <m:oMath>
        <m:r>
          <w:rPr>
            <w:rFonts w:ascii="Cambria Math" w:hAnsi="Cambria Math"/>
          </w:rPr>
          <m:t>2</m:t>
        </m:r>
      </m:oMath>
      <w:r w:rsidR="00D853DD">
        <w:t>)</w:t>
      </w:r>
      <w:r w:rsidRPr="004534C9">
        <w:t> × number of channels (</w:t>
      </w:r>
      <m:oMath>
        <m:r>
          <w:rPr>
            <w:rFonts w:ascii="Cambria Math" w:hAnsi="Cambria Math"/>
          </w:rPr>
          <m:t>22</m:t>
        </m:r>
      </m:oMath>
      <w:r w:rsidRPr="004534C9">
        <w:t>) × the window length (</w:t>
      </w:r>
      <m:oMath>
        <m:r>
          <w:rPr>
            <w:rFonts w:ascii="Cambria Math" w:hAnsi="Cambria Math"/>
          </w:rPr>
          <m:t>7</m:t>
        </m:r>
      </m:oMath>
      <w:r w:rsidRPr="004534C9">
        <w:t>)</w:t>
      </w:r>
      <w:r w:rsidR="00D853DD">
        <w:t xml:space="preserve"> </w:t>
      </w:r>
      <m:oMath>
        <m:r>
          <w:rPr>
            <w:rFonts w:ascii="Cambria Math" w:hAnsi="Cambria Math"/>
          </w:rPr>
          <m:t>= 308</m:t>
        </m:r>
      </m:oMath>
      <w:r w:rsidRPr="004534C9">
        <w:t xml:space="preserve">. Therefore, we also use </w:t>
      </w:r>
      <w:r w:rsidR="00EA51FD">
        <w:t>Principal Components Analysis (</w:t>
      </w:r>
      <w:r w:rsidRPr="004534C9">
        <w:t>PCA</w:t>
      </w:r>
      <w:r w:rsidR="00EA51FD">
        <w:t>)</w:t>
      </w:r>
      <w:r w:rsidRPr="004534C9">
        <w:t xml:space="preserve"> before LSTM in this approach to reduce the dimensionality of the data to </w:t>
      </w:r>
      <m:oMath>
        <m:r>
          <w:rPr>
            <w:rFonts w:ascii="Cambria Math" w:hAnsi="Cambria Math"/>
          </w:rPr>
          <m:t>20</m:t>
        </m:r>
      </m:oMath>
      <w:r w:rsidRPr="004534C9">
        <w:t xml:space="preserve">. For this study, we used a window length of </w:t>
      </w:r>
      <m:oMath>
        <m:r>
          <w:rPr>
            <w:rFonts w:ascii="Cambria Math" w:hAnsi="Cambria Math"/>
          </w:rPr>
          <m:t>41</m:t>
        </m:r>
      </m:oMath>
      <w:r w:rsidRPr="004534C9">
        <w:t xml:space="preserve"> for LSTM</w:t>
      </w:r>
      <w:r w:rsidR="00EA51FD">
        <w:t>. T</w:t>
      </w:r>
      <w:r w:rsidRPr="004534C9">
        <w:t xml:space="preserve">his layer is composed of one hidden layer with </w:t>
      </w:r>
      <m:oMath>
        <m:r>
          <w:rPr>
            <w:rFonts w:ascii="Cambria Math" w:hAnsi="Cambria Math"/>
          </w:rPr>
          <m:t>32</m:t>
        </m:r>
      </m:oMath>
      <w:r w:rsidRPr="004534C9">
        <w:t xml:space="preserve"> nodes. The output layer nodes in this LSTM level use a sigmoid </w:t>
      </w:r>
      <w:r w:rsidR="00D853DD">
        <w:t xml:space="preserve">activation </w:t>
      </w:r>
      <w:r w:rsidRPr="004534C9">
        <w:t>function.</w:t>
      </w:r>
      <w:r w:rsidRPr="004534C9">
        <w:rPr>
          <w:i/>
          <w:iCs/>
        </w:rPr>
        <w:t xml:space="preserve"> </w:t>
      </w:r>
      <w:r w:rsidRPr="004534C9">
        <w:t>The parameters of the models are optimized to minimize the error using a cross-entropy loss function. Adaptive Moment Estimation (Adam) is used in the optimization process.</w:t>
      </w:r>
    </w:p>
    <w:p w14:paraId="3C0C3253" w14:textId="56AEBA8F" w:rsidR="00D06CC3" w:rsidRPr="004534C9" w:rsidRDefault="00D06CC3" w:rsidP="001D532F">
      <w:pPr>
        <w:pStyle w:val="BodyText"/>
        <w:numPr>
          <w:ilvl w:val="0"/>
          <w:numId w:val="23"/>
        </w:numPr>
        <w:ind w:left="540"/>
      </w:pPr>
      <w:r w:rsidRPr="004534C9">
        <w:rPr>
          <w:i/>
          <w:iCs/>
        </w:rPr>
        <w:t>IPCA/LSTM</w:t>
      </w:r>
      <w:r w:rsidR="0042433B" w:rsidRPr="004534C9">
        <w:rPr>
          <w:i/>
          <w:iCs/>
        </w:rPr>
        <w:t> </w:t>
      </w:r>
      <w:r w:rsidR="0042433B" w:rsidRPr="004534C9">
        <w:rPr>
          <w:i/>
          <w:iCs/>
        </w:rPr>
        <w:fldChar w:fldCharType="begin"/>
      </w:r>
      <w:r w:rsidR="0042433B" w:rsidRPr="004534C9">
        <w:rPr>
          <w:i/>
          <w:iCs/>
        </w:rPr>
        <w:instrText xml:space="preserve"> REF _Ref37286090 \n </w:instrText>
      </w:r>
      <w:r w:rsidR="0042433B">
        <w:rPr>
          <w:i/>
          <w:iCs/>
        </w:rPr>
        <w:instrText xml:space="preserve"> \* MERGEFORMAT </w:instrText>
      </w:r>
      <w:r w:rsidR="0042433B" w:rsidRPr="004534C9">
        <w:rPr>
          <w:i/>
          <w:iCs/>
        </w:rPr>
        <w:fldChar w:fldCharType="separate"/>
      </w:r>
      <w:r w:rsidR="00FF1B3A">
        <w:rPr>
          <w:i/>
          <w:iCs/>
        </w:rPr>
        <w:t>[44]</w:t>
      </w:r>
      <w:r w:rsidR="0042433B" w:rsidRPr="004534C9">
        <w:rPr>
          <w:i/>
          <w:iCs/>
        </w:rPr>
        <w:fldChar w:fldCharType="end"/>
      </w:r>
      <w:r w:rsidRPr="004534C9">
        <w:rPr>
          <w:i/>
          <w:iCs/>
        </w:rPr>
        <w:t>:</w:t>
      </w:r>
      <w:r w:rsidRPr="004534C9">
        <w:t xml:space="preserve"> a preprocessor based on Incremental Principal Component Analysis (IPCA) followed by an LSTM decoder. The EEG features are delivered to an IPCA layer for spatial context analysis and dimensionality reduction. A batch size of </w:t>
      </w:r>
      <m:oMath>
        <m:r>
          <w:rPr>
            <w:rFonts w:ascii="Cambria Math" w:hAnsi="Cambria Math"/>
          </w:rPr>
          <m:t>50</m:t>
        </m:r>
      </m:oMath>
      <w:r w:rsidRPr="004534C9">
        <w:t xml:space="preserve"> is used in IPCA and the output dimension is </w:t>
      </w:r>
      <m:oMath>
        <m:r>
          <w:rPr>
            <w:rFonts w:ascii="Cambria Math" w:hAnsi="Cambria Math"/>
          </w:rPr>
          <m:t>25</m:t>
        </m:r>
      </m:oMath>
      <w:r w:rsidRPr="004534C9">
        <w:t>. The output of IPCA is delivered to a</w:t>
      </w:r>
      <w:r w:rsidR="00EA51FD">
        <w:t xml:space="preserve">n </w:t>
      </w:r>
      <w:r w:rsidRPr="004534C9">
        <w:t xml:space="preserve">LSTM for classification. We used a one-layer LSTM with a hidden layer size of </w:t>
      </w:r>
      <m:oMath>
        <m:r>
          <w:rPr>
            <w:rFonts w:ascii="Cambria Math" w:hAnsi="Cambria Math"/>
          </w:rPr>
          <m:t>128</m:t>
        </m:r>
      </m:oMath>
      <w:r w:rsidR="00EA51FD">
        <w:t xml:space="preserve">. A </w:t>
      </w:r>
      <w:r w:rsidRPr="004534C9">
        <w:t xml:space="preserve">batch size of </w:t>
      </w:r>
      <m:oMath>
        <m:r>
          <w:rPr>
            <w:rFonts w:ascii="Cambria Math" w:hAnsi="Cambria Math"/>
          </w:rPr>
          <m:t>128</m:t>
        </m:r>
      </m:oMath>
      <w:r w:rsidRPr="004534C9">
        <w:t xml:space="preserve"> </w:t>
      </w:r>
      <w:r w:rsidR="00EA51FD">
        <w:t xml:space="preserve">was </w:t>
      </w:r>
      <w:r w:rsidRPr="004534C9">
        <w:t>used along with Adam optimization and a cross–entropy loss function.</w:t>
      </w:r>
    </w:p>
    <w:p w14:paraId="3AF361A2" w14:textId="0837D765" w:rsidR="00D06CC3" w:rsidRDefault="00D06CC3" w:rsidP="001D532F">
      <w:pPr>
        <w:pStyle w:val="BodyText"/>
        <w:numPr>
          <w:ilvl w:val="0"/>
          <w:numId w:val="23"/>
        </w:numPr>
        <w:ind w:left="540"/>
      </w:pPr>
      <w:r w:rsidRPr="004534C9">
        <w:rPr>
          <w:i/>
          <w:iCs/>
        </w:rPr>
        <w:t>CNN/MLP</w:t>
      </w:r>
      <w:r w:rsidR="0042433B">
        <w:rPr>
          <w:i/>
          <w:iCs/>
        </w:rPr>
        <w:fldChar w:fldCharType="begin"/>
      </w:r>
      <w:r w:rsidR="0042433B">
        <w:rPr>
          <w:i/>
          <w:iCs/>
        </w:rPr>
        <w:instrText xml:space="preserve"> REF _Ref37286101 \n </w:instrText>
      </w:r>
      <w:r w:rsidR="0042433B">
        <w:rPr>
          <w:i/>
          <w:iCs/>
        </w:rPr>
        <w:fldChar w:fldCharType="separate"/>
      </w:r>
      <w:r w:rsidR="00FF1B3A">
        <w:rPr>
          <w:i/>
          <w:iCs/>
        </w:rPr>
        <w:t>[46]</w:t>
      </w:r>
      <w:r w:rsidR="0042433B">
        <w:rPr>
          <w:i/>
          <w:iCs/>
        </w:rPr>
        <w:fldChar w:fldCharType="end"/>
      </w:r>
      <w:r w:rsidRPr="004534C9">
        <w:rPr>
          <w:i/>
          <w:iCs/>
        </w:rPr>
        <w:t>:</w:t>
      </w:r>
      <w:r>
        <w:t xml:space="preserve">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25F568A2" w14:textId="614EF031" w:rsidR="00D06CC3" w:rsidRPr="004534C9" w:rsidRDefault="00D06CC3" w:rsidP="001D532F">
      <w:pPr>
        <w:pStyle w:val="BodyText"/>
        <w:numPr>
          <w:ilvl w:val="0"/>
          <w:numId w:val="23"/>
        </w:numPr>
        <w:ind w:left="540"/>
      </w:pPr>
      <w:r w:rsidRPr="004534C9">
        <w:rPr>
          <w:i/>
          <w:iCs/>
        </w:rPr>
        <w:t>CNN/LSTM</w:t>
      </w:r>
      <w:r w:rsidR="0042433B">
        <w:rPr>
          <w:i/>
          <w:iCs/>
        </w:rPr>
        <w:fldChar w:fldCharType="begin"/>
      </w:r>
      <w:r w:rsidR="0042433B">
        <w:rPr>
          <w:i/>
          <w:iCs/>
        </w:rPr>
        <w:instrText xml:space="preserve"> REF _Ref37286101 \n </w:instrText>
      </w:r>
      <w:r w:rsidR="0042433B">
        <w:rPr>
          <w:i/>
          <w:iCs/>
        </w:rPr>
        <w:fldChar w:fldCharType="separate"/>
      </w:r>
      <w:r w:rsidR="00FF1B3A">
        <w:rPr>
          <w:i/>
          <w:iCs/>
        </w:rPr>
        <w:t>[46]</w:t>
      </w:r>
      <w:r w:rsidR="0042433B">
        <w:rPr>
          <w:i/>
          <w:iCs/>
        </w:rPr>
        <w:fldChar w:fldCharType="end"/>
      </w:r>
      <w:r w:rsidRPr="004534C9">
        <w:rPr>
          <w:i/>
          <w:iCs/>
        </w:rPr>
        <w:t xml:space="preserve">: </w:t>
      </w:r>
      <w:r w:rsidRPr="004534C9">
        <w:t xml:space="preserve">a pure deep learning-based architecture that uses a combination of CNN and LSTM networks. In this architecture, we integrate 2D CNNs, 1D CNNs and LSTM networks to better exploit long-term dependencies. Exponential Linear Units (ELU) are used as the activation functions for </w:t>
      </w:r>
      <w:r w:rsidR="0093372E" w:rsidRPr="004534C9">
        <w:t>the hidden</w:t>
      </w:r>
      <w:r w:rsidRPr="004534C9">
        <w:t xml:space="preserve"> </w:t>
      </w:r>
      <w:r w:rsidRPr="004534C9">
        <w:lastRenderedPageBreak/>
        <w:t>layers. Adam is used in the optimization process along with a mean squared error loss function.</w:t>
      </w:r>
    </w:p>
    <w:p w14:paraId="7A0952BB" w14:textId="2D1E9912" w:rsidR="004177D9" w:rsidRPr="00D06CC3" w:rsidRDefault="00D06CC3" w:rsidP="004534C9">
      <w:pPr>
        <w:pStyle w:val="BodyText"/>
        <w:ind w:firstLine="0"/>
      </w:pPr>
      <w:r>
        <w:t xml:space="preserve">The details of these systems are not critical to this study. </w:t>
      </w:r>
      <w:r w:rsidR="002264CD">
        <w:t xml:space="preserve">We selected these systems because we needed a range of typical system performance that would expose the differences in the scoring metrics. </w:t>
      </w:r>
      <w:r>
        <w:t>What is more important is how the range of performance is reflected in these metrics.</w:t>
      </w:r>
    </w:p>
    <w:p w14:paraId="6B6AE5F9" w14:textId="315E460F" w:rsidR="00EF5E13" w:rsidRDefault="00D06CC3" w:rsidP="006F65A4">
      <w:pPr>
        <w:pStyle w:val="BodyText"/>
      </w:pPr>
      <w:r>
        <w:t>A comparison of the performance</w:t>
      </w:r>
      <w:r w:rsidR="004534C9">
        <w:t xml:space="preserve"> </w:t>
      </w:r>
      <w:r>
        <w:t xml:space="preserve">is presented 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t xml:space="preserve">. </w:t>
      </w:r>
      <w:r w:rsidR="00067824">
        <w:t xml:space="preserve">For each scoring metric, we provide the measured sensitivity, specificity and FA rate. For the ATWV metric, we also provide the ATWV score. </w:t>
      </w:r>
      <w:r>
        <w:t>Though the</w:t>
      </w:r>
      <w:r w:rsidR="006C6301">
        <w:t xml:space="preserve"> </w:t>
      </w:r>
      <w:r>
        <w:t>rankings of these systems</w:t>
      </w:r>
      <w:r w:rsidR="006C6301">
        <w:t xml:space="preserve"> </w:t>
      </w:r>
      <w:r>
        <w:t xml:space="preserve">vary </w:t>
      </w:r>
      <w:r w:rsidR="006C6301">
        <w:t xml:space="preserve">as a function of the </w:t>
      </w:r>
      <w:r>
        <w:t xml:space="preserve">metric, the </w:t>
      </w:r>
      <w:r w:rsidR="006C6301">
        <w:t xml:space="preserve">overall trends </w:t>
      </w:r>
      <w:r w:rsidR="00067824">
        <w:t xml:space="preserve">are </w:t>
      </w:r>
      <w:r>
        <w:t xml:space="preserve">accurately represented </w:t>
      </w:r>
      <w:r w:rsidR="002A1756">
        <w:t xml:space="preserve">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t>. HMM/SdA generally performs the poorest of these systems, delivering a respectable sensitivity</w:t>
      </w:r>
      <w:r w:rsidR="00D02E7A">
        <w:t xml:space="preserve"> </w:t>
      </w:r>
      <w:r>
        <w:t xml:space="preserve">at a high FA rate. CNN/LSTM typically delivers </w:t>
      </w:r>
      <w:r w:rsidR="00067824">
        <w:t xml:space="preserve">the </w:t>
      </w:r>
      <w:r>
        <w:t xml:space="preserve">highest </w:t>
      </w:r>
      <w:r w:rsidR="00D02E7A">
        <w:t xml:space="preserve">overall </w:t>
      </w:r>
      <w:r>
        <w:t xml:space="preserve">performance </w:t>
      </w:r>
      <w:r w:rsidR="00D02E7A">
        <w:t>because it h</w:t>
      </w:r>
      <w:r>
        <w:t>as a low FA rate, which is very important in this type of application.</w:t>
      </w:r>
    </w:p>
    <w:p w14:paraId="1166CEAD" w14:textId="462D224B" w:rsidR="00EF5E13" w:rsidRDefault="00681D28" w:rsidP="00EF5E13">
      <w:pPr>
        <w:pStyle w:val="heading1"/>
      </w:pPr>
      <w:r w:rsidRPr="00EA2E48">
        <w:rPr>
          <w:noProof/>
          <w:szCs w:val="24"/>
          <w:highlight w:val="yellow"/>
        </w:rPr>
        <mc:AlternateContent>
          <mc:Choice Requires="wps">
            <w:drawing>
              <wp:anchor distT="137160" distB="137160" distL="137160" distR="137160" simplePos="0" relativeHeight="251679744" behindDoc="0" locked="0" layoutInCell="1" allowOverlap="0" wp14:anchorId="4F536E4D" wp14:editId="46F80B4C">
                <wp:simplePos x="0" y="0"/>
                <wp:positionH relativeFrom="margin">
                  <wp:align>center</wp:align>
                </wp:positionH>
                <wp:positionV relativeFrom="margin">
                  <wp:align>bottom</wp:align>
                </wp:positionV>
                <wp:extent cx="4434840" cy="306324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06324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50BF" w14:textId="1D947923" w:rsidR="00FF1B3A" w:rsidRPr="004534C9" w:rsidRDefault="00FF1B3A" w:rsidP="00396548">
                            <w:pPr>
                              <w:pStyle w:val="Caption"/>
                              <w:spacing w:after="120"/>
                              <w:jc w:val="center"/>
                              <w:rPr>
                                <w:sz w:val="18"/>
                                <w:szCs w:val="18"/>
                              </w:rPr>
                            </w:pPr>
                            <w:bookmarkStart w:id="36" w:name="_Ref37544690"/>
                            <w:bookmarkStart w:id="37"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36"/>
                            <w:r w:rsidRPr="004534C9">
                              <w:rPr>
                                <w:b/>
                                <w:bCs/>
                                <w:sz w:val="18"/>
                                <w:szCs w:val="18"/>
                              </w:rPr>
                              <w:t>.</w:t>
                            </w:r>
                            <w:r w:rsidRPr="004534C9">
                              <w:rPr>
                                <w:sz w:val="18"/>
                                <w:szCs w:val="18"/>
                              </w:rPr>
                              <w:t xml:space="preserve"> Performance vs. scoring metric</w:t>
                            </w:r>
                            <w:bookmarkEnd w:id="37"/>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36E4D" id="Text Box 26" o:spid="_x0000_s1035" type="#_x0000_t202" style="position:absolute;left:0;text-align:left;margin-left:0;margin-top:0;width:349.2pt;height:241.2pt;z-index:25167974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" o:allowoverlap="f" fillcolor="#e1e1e1" stroked="f">
                <v:fill opacity="0"/>
                <v:textbox inset="0,0,0,0">
                  <w:txbxContent>
                    <w:p w14:paraId="2F3750BF" w14:textId="1D947923" w:rsidR="00FF1B3A" w:rsidRPr="004534C9" w:rsidRDefault="00FF1B3A" w:rsidP="00396548">
                      <w:pPr>
                        <w:pStyle w:val="Caption"/>
                        <w:spacing w:after="120"/>
                        <w:jc w:val="center"/>
                        <w:rPr>
                          <w:sz w:val="18"/>
                          <w:szCs w:val="18"/>
                        </w:rPr>
                      </w:pPr>
                      <w:bookmarkStart w:id="38" w:name="_Ref37544690"/>
                      <w:bookmarkStart w:id="39"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38"/>
                      <w:r w:rsidRPr="004534C9">
                        <w:rPr>
                          <w:b/>
                          <w:bCs/>
                          <w:sz w:val="18"/>
                          <w:szCs w:val="18"/>
                        </w:rPr>
                        <w:t>.</w:t>
                      </w:r>
                      <w:r w:rsidRPr="004534C9">
                        <w:rPr>
                          <w:sz w:val="18"/>
                          <w:szCs w:val="18"/>
                        </w:rPr>
                        <w:t xml:space="preserve"> Performance vs. scoring metric</w:t>
                      </w:r>
                      <w:bookmarkEnd w:id="39"/>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v:textbox>
                <w10:wrap type="square" anchorx="margin" anchory="margin"/>
              </v:shape>
            </w:pict>
          </mc:Fallback>
        </mc:AlternateContent>
      </w:r>
      <w:r w:rsidR="00067824">
        <w:t>Derived Measures</w:t>
      </w:r>
    </w:p>
    <w:p w14:paraId="5ED238CC" w14:textId="6CE66EFE" w:rsidR="005F55DC" w:rsidRPr="00EA2E48" w:rsidRDefault="006A0501" w:rsidP="005F55DC">
      <w:pPr>
        <w:pStyle w:val="BodyText"/>
      </w:pPr>
      <w:r w:rsidRPr="00EA2E48">
        <w:t>Most supervised machine learning algorithms are designed to classify</w:t>
      </w:r>
      <w:r w:rsidR="00254735" w:rsidRPr="00EA2E48">
        <w:t xml:space="preserve"> labels</w:t>
      </w:r>
      <w:r w:rsidRPr="00EA2E48">
        <w:t xml:space="preserve"> with</w:t>
      </w:r>
      <w:r w:rsidR="00254735" w:rsidRPr="00EA2E48">
        <w:t xml:space="preserve"> some</w:t>
      </w:r>
      <w:r w:rsidRPr="00EA2E48">
        <w:t xml:space="preserve"> type of bounded or unbounded confidence measure such as </w:t>
      </w:r>
      <w:r w:rsidR="00067824">
        <w:t xml:space="preserve">a posterior </w:t>
      </w:r>
      <w:r w:rsidRPr="00EA2E48">
        <w:t xml:space="preserve">probability or </w:t>
      </w:r>
      <w:r w:rsidR="00067824">
        <w:t xml:space="preserve">a </w:t>
      </w:r>
      <w:r w:rsidRPr="00EA2E48">
        <w:t xml:space="preserve">log-likelihood. </w:t>
      </w:r>
      <w:r w:rsidR="00067824">
        <w:t>P</w:t>
      </w:r>
      <w:r w:rsidRPr="00EA2E48">
        <w:t xml:space="preserve">ossible exceptions are </w:t>
      </w:r>
      <w:r w:rsidR="00067824">
        <w:t xml:space="preserve">nonparametric techniques such </w:t>
      </w:r>
      <w:r w:rsidRPr="00EA2E48">
        <w:t>K-nearest neighbors</w:t>
      </w:r>
      <w:r w:rsidR="00067824">
        <w:t xml:space="preserve"> and </w:t>
      </w:r>
      <w:r w:rsidRPr="00EA2E48">
        <w:t>decision trees. The</w:t>
      </w:r>
      <w:r w:rsidR="000D154E">
        <w:t xml:space="preserve">se </w:t>
      </w:r>
      <w:r w:rsidRPr="00EA2E48">
        <w:t xml:space="preserve">confidence measures allow </w:t>
      </w:r>
      <w:r w:rsidR="000D154E">
        <w:t>algorithm designers to s</w:t>
      </w:r>
      <w:r w:rsidR="00254735" w:rsidRPr="00EA2E48">
        <w:t>weep</w:t>
      </w:r>
      <w:r w:rsidR="000D154E">
        <w:t xml:space="preserve"> </w:t>
      </w:r>
      <w:r w:rsidR="00254735" w:rsidRPr="00EA2E48">
        <w:t xml:space="preserve">through threshold values for the confidence measures </w:t>
      </w:r>
      <w:r w:rsidR="000D154E">
        <w:t xml:space="preserve">and </w:t>
      </w:r>
      <w:r w:rsidR="00254735" w:rsidRPr="00EA2E48">
        <w:t>observe</w:t>
      </w:r>
      <w:r w:rsidR="000D154E">
        <w:t xml:space="preserve"> </w:t>
      </w:r>
      <w:r w:rsidR="00254735" w:rsidRPr="00EA2E48">
        <w:t xml:space="preserve">performance </w:t>
      </w:r>
      <w:r w:rsidR="00254735" w:rsidRPr="00EA2E48">
        <w:lastRenderedPageBreak/>
        <w:t xml:space="preserve">at different operating points. In this section, we </w:t>
      </w:r>
      <w:r w:rsidR="000D154E">
        <w:t>analyze the performance of these sy</w:t>
      </w:r>
      <w:r w:rsidR="00087013">
        <w:t>s</w:t>
      </w:r>
      <w:r w:rsidR="000D154E">
        <w:t>tems using DET curves and derived measures such as AUC and F scores.</w:t>
      </w:r>
    </w:p>
    <w:p w14:paraId="2B3A168D" w14:textId="1F1E782C" w:rsidR="00EF5E13" w:rsidRDefault="000D154E" w:rsidP="00661663">
      <w:pPr>
        <w:pStyle w:val="heading2"/>
        <w:keepNext w:val="0"/>
        <w:keepLines w:val="0"/>
        <w:widowControl w:val="0"/>
        <w:ind w:left="562" w:hanging="562"/>
      </w:pPr>
      <w:r>
        <w:t>Detection Error Trade-off Analysis</w:t>
      </w:r>
    </w:p>
    <w:p w14:paraId="41F101E2" w14:textId="15956808" w:rsidR="00C44AE8" w:rsidRDefault="00D029E9" w:rsidP="00C44AE8">
      <w:pPr>
        <w:pStyle w:val="BodyText"/>
        <w:rPr>
          <w:noProof/>
        </w:rPr>
      </w:pPr>
      <w:r w:rsidRPr="000F0AD1">
        <w:t xml:space="preserve">Evaluating systems from a single operating point is always a bit tenuous. </w:t>
      </w:r>
      <w:r w:rsidR="00254735">
        <w:t>It is very difficult to compare the performance of various systems when only two values are reported (e.g. sensitivity and specificity)</w:t>
      </w:r>
      <w:r w:rsidR="00AC0F6A">
        <w:t xml:space="preserve"> because these systems might simply be designed to balance the four basic error categories differently (e.g., using a different threshold to reject FPs). </w:t>
      </w:r>
      <w:r w:rsidR="000D154E">
        <w:t xml:space="preserve">For example, </w:t>
      </w:r>
      <w:r w:rsidR="00254735">
        <w:t>in seizure detection, the a</w:t>
      </w:r>
      <w:r w:rsidR="000D154E">
        <w:t> </w:t>
      </w:r>
      <w:r w:rsidR="00254735">
        <w:t xml:space="preserve">priori probability of a seizure is very low, which means assessment of background events dominate the error calculations. </w:t>
      </w:r>
      <w:r w:rsidR="00D02E7A">
        <w:t xml:space="preserve">The degree to which </w:t>
      </w:r>
      <w:r w:rsidR="00AC0F6A">
        <w:t xml:space="preserve">a system is </w:t>
      </w:r>
      <w:r w:rsidR="00D02E7A">
        <w:t xml:space="preserve">capable of producing a </w:t>
      </w:r>
      <w:r w:rsidR="00AC0F6A">
        <w:t>seizure</w:t>
      </w:r>
      <w:r w:rsidR="007001D0">
        <w:t xml:space="preserve"> </w:t>
      </w:r>
      <w:r w:rsidR="00AC0F6A">
        <w:t>hypothe</w:t>
      </w:r>
      <w:r w:rsidR="007001D0">
        <w:t xml:space="preserve">sis </w:t>
      </w:r>
      <w:r w:rsidR="00AC0F6A">
        <w:t xml:space="preserve">will greatly impact its specificity. Further, sensitivity varies significantly when the FA rate is very low. </w:t>
      </w:r>
      <w:r w:rsidR="006E67DF">
        <w:t>Therefore, comparing systems that differ significantly in FA rate can be misleading. Often,</w:t>
      </w:r>
      <w:r>
        <w:t xml:space="preserve"> we prefer </w:t>
      </w:r>
      <w:r w:rsidR="00254735">
        <w:t xml:space="preserve">a more holistic view </w:t>
      </w:r>
      <w:r>
        <w:t xml:space="preserve">of performance that is provided by a </w:t>
      </w:r>
      <w:r w:rsidR="00254735">
        <w:t xml:space="preserve">Receiver Operating Characteristic (ROC) </w:t>
      </w:r>
      <w:r>
        <w:t xml:space="preserve">curve </w:t>
      </w:r>
      <w:r w:rsidR="00254735">
        <w:t>or a Detection Error Trade-off (DET) curv</w:t>
      </w:r>
      <w:r w:rsidR="000D1EA5">
        <w:t>e</w:t>
      </w:r>
      <w:r w:rsidR="00254735">
        <w:t xml:space="preserve">. </w:t>
      </w:r>
      <w:r w:rsidR="000D1EA5">
        <w:t>A</w:t>
      </w:r>
      <w:r w:rsidR="00254735">
        <w:t xml:space="preserve"> ROC curve displays</w:t>
      </w:r>
      <w:r w:rsidR="00AC0F6A">
        <w:t xml:space="preserve"> </w:t>
      </w:r>
      <w:r w:rsidR="00254735">
        <w:t>TP as a function of FP while a DET curve displays FN as a function of FP</w:t>
      </w:r>
      <w:r w:rsidR="00AC0F6A">
        <w:t>.</w:t>
      </w:r>
    </w:p>
    <w:p w14:paraId="492D362D" w14:textId="17E95D40" w:rsidR="000D1EA5" w:rsidRDefault="001B0087" w:rsidP="000D1EA5">
      <w:pPr>
        <w:pStyle w:val="BodyText"/>
      </w:pPr>
      <w:r>
        <w:rPr>
          <w:noProof/>
          <w:sz w:val="24"/>
          <w:szCs w:val="24"/>
        </w:rPr>
        <mc:AlternateContent>
          <mc:Choice Requires="wps">
            <w:drawing>
              <wp:anchor distT="137160" distB="137160" distL="137160" distR="137160" simplePos="0" relativeHeight="251681792" behindDoc="0" locked="0" layoutInCell="1" allowOverlap="0" wp14:anchorId="4D561A68" wp14:editId="41F231B6">
                <wp:simplePos x="0" y="0"/>
                <wp:positionH relativeFrom="margin">
                  <wp:posOffset>2885</wp:posOffset>
                </wp:positionH>
                <wp:positionV relativeFrom="margin">
                  <wp:posOffset>3493307</wp:posOffset>
                </wp:positionV>
                <wp:extent cx="4370705" cy="3437890"/>
                <wp:effectExtent l="0" t="0" r="1079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3437890"/>
                        </a:xfrm>
                        <a:prstGeom prst="rect">
                          <a:avLst/>
                        </a:prstGeom>
                        <a:solidFill>
                          <a:srgbClr val="FFFFFF"/>
                        </a:solidFill>
                        <a:ln w="9525">
                          <a:solidFill>
                            <a:schemeClr val="bg1">
                              <a:lumMod val="100000"/>
                              <a:lumOff val="0"/>
                            </a:schemeClr>
                          </a:solidFill>
                          <a:miter lim="800000"/>
                          <a:headEnd/>
                          <a:tailEnd/>
                        </a:ln>
                      </wps:spPr>
                      <wps:txbx>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40" w:name="_Ref499137849"/>
                            <w:bookmarkStart w:id="41"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40"/>
                            <w:r w:rsidRPr="006B1D14">
                              <w:rPr>
                                <w:b/>
                                <w:bCs/>
                                <w:sz w:val="18"/>
                                <w:szCs w:val="18"/>
                              </w:rPr>
                              <w:t>.</w:t>
                            </w:r>
                            <w:r w:rsidRPr="006B1D14">
                              <w:rPr>
                                <w:sz w:val="18"/>
                                <w:szCs w:val="18"/>
                              </w:rPr>
                              <w:t xml:space="preserve"> A comparison of DET curves</w:t>
                            </w:r>
                          </w:p>
                          <w:bookmarkEnd w:id="41"/>
                          <w:p w14:paraId="1B73FCA1"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61A68" id="Text Box 28" o:spid="_x0000_s1037" type="#_x0000_t202" style="position:absolute;left:0;text-align:left;margin-left:.25pt;margin-top:275.05pt;width:344.15pt;height:270.7pt;z-index:25168179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" o:allowoverlap="f" strokecolor="white [3212]">
                <v:textbox inset="0,0,0,0">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693" w:name="_Ref499137849"/>
                      <w:bookmarkStart w:id="694"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693"/>
                      <w:r w:rsidRPr="006B1D14">
                        <w:rPr>
                          <w:b/>
                          <w:bCs/>
                          <w:sz w:val="18"/>
                          <w:szCs w:val="18"/>
                        </w:rPr>
                        <w:t>.</w:t>
                      </w:r>
                      <w:r w:rsidRPr="006B1D14">
                        <w:rPr>
                          <w:sz w:val="18"/>
                          <w:szCs w:val="18"/>
                        </w:rPr>
                        <w:t xml:space="preserve"> A comparison of DET curves</w:t>
                      </w:r>
                    </w:p>
                    <w:bookmarkEnd w:id="694"/>
                    <w:p w14:paraId="1B73FCA1" w14:textId="77777777" w:rsidR="00FF1B3A" w:rsidRDefault="00FF1B3A" w:rsidP="00C44AE8">
                      <w:pPr>
                        <w:rPr>
                          <w:sz w:val="22"/>
                          <w:szCs w:val="22"/>
                        </w:rPr>
                      </w:pPr>
                    </w:p>
                  </w:txbxContent>
                </v:textbox>
                <w10:wrap type="square" anchorx="margin" anchory="margin"/>
              </v:shape>
            </w:pict>
          </mc:Fallback>
        </mc:AlternateContent>
      </w:r>
      <w:r w:rsidR="00D029E9">
        <w:t>I</w:t>
      </w:r>
      <w:r w:rsidR="000F0AD1" w:rsidRPr="000F0AD1">
        <w:t xml:space="preserve">n </w:t>
      </w:r>
      <w:r w:rsidR="00720FCA">
        <w:fldChar w:fldCharType="begin"/>
      </w:r>
      <w:r w:rsidR="00720FCA">
        <w:instrText xml:space="preserve"> REF _Ref499137849 \* mergeformat</w:instrText>
      </w:r>
      <w:r w:rsidR="00720FCA">
        <w:fldChar w:fldCharType="separate"/>
      </w:r>
      <w:r w:rsidR="00FF1B3A" w:rsidRPr="00E91D8D">
        <w:t>Figure 11</w:t>
      </w:r>
      <w:r w:rsidR="00720FCA">
        <w:fldChar w:fldCharType="end"/>
      </w:r>
      <w:r w:rsidR="000F0AD1" w:rsidRPr="000F0AD1">
        <w:t>, we provide DET curves for the systems</w:t>
      </w:r>
      <w:r w:rsidR="00D029E9">
        <w:t xml:space="preserve"> presented </w:t>
      </w:r>
      <w:r w:rsidR="002A1756">
        <w:t xml:space="preserve">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rsidR="00D029E9">
        <w:t xml:space="preserve">. We refer to this analysis as a derived measure because these curves require calculations of the four </w:t>
      </w:r>
      <w:r w:rsidR="007001D0">
        <w:t xml:space="preserve">measures </w:t>
      </w:r>
      <w:r w:rsidR="00DD034D">
        <w:t xml:space="preserve">described in Section </w:t>
      </w:r>
      <w:fldSimple w:instr=" REF _Ref51804047 \r ">
        <w:r w:rsidR="00FF1B3A">
          <w:t>2</w:t>
        </w:r>
      </w:fldSimple>
      <w:r w:rsidR="00D029E9">
        <w:t xml:space="preserve">, which in turn requires the selection of a scoring </w:t>
      </w:r>
      <w:r w:rsidR="00D029E9">
        <w:lastRenderedPageBreak/>
        <w:t xml:space="preserve">metric. </w:t>
      </w:r>
      <w:r w:rsidR="000F0AD1" w:rsidRPr="000F0AD1">
        <w:t xml:space="preserve">The DET curves </w:t>
      </w:r>
      <w:r w:rsidR="00D029E9">
        <w:t>i</w:t>
      </w:r>
      <w:r w:rsidR="00D029E9" w:rsidRPr="000F0AD1">
        <w:t xml:space="preserve">n </w:t>
      </w:r>
      <w:r w:rsidR="00720FCA">
        <w:fldChar w:fldCharType="begin"/>
      </w:r>
      <w:r w:rsidR="00720FCA">
        <w:instrText xml:space="preserve"> REF _Ref499137849 \* mergeformat</w:instrText>
      </w:r>
      <w:r w:rsidR="00720FCA">
        <w:fldChar w:fldCharType="separate"/>
      </w:r>
      <w:r w:rsidR="00FF1B3A" w:rsidRPr="00E91D8D">
        <w:t>Figure 11</w:t>
      </w:r>
      <w:r w:rsidR="00720FCA">
        <w:fldChar w:fldCharType="end"/>
      </w:r>
      <w:r w:rsidR="00D029E9">
        <w:t xml:space="preserve"> </w:t>
      </w:r>
      <w:r w:rsidR="000F0AD1" w:rsidRPr="000F0AD1">
        <w:t xml:space="preserve">were derived from output </w:t>
      </w:r>
      <w:r w:rsidR="00D029E9">
        <w:t xml:space="preserve">generated using </w:t>
      </w:r>
      <w:r w:rsidR="000F0AD1" w:rsidRPr="000F0AD1">
        <w:t>the OVLP scoring metric. The shapes of the DET curves do not change significantly with the scoring metric though the absolute numbers vary similarly to what we s</w:t>
      </w:r>
      <w:r w:rsidR="00D029E9">
        <w:t>ee</w:t>
      </w:r>
      <w:r w:rsidR="000F0AD1" w:rsidRPr="000F0AD1">
        <w:t xml:space="preserve"> </w:t>
      </w:r>
      <w:r w:rsidR="002A1756">
        <w:t xml:space="preserve">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rsidR="002A1756">
        <w:t>.</w:t>
      </w:r>
    </w:p>
    <w:p w14:paraId="7FFB2C58" w14:textId="7E2F9286" w:rsidR="000F0AD1" w:rsidRPr="000F0AD1" w:rsidRDefault="007E28B7" w:rsidP="00661663">
      <w:pPr>
        <w:pStyle w:val="BodyText"/>
        <w:ind w:firstLine="230"/>
      </w:pPr>
      <w:r>
        <w:t>From this data i</w:t>
      </w:r>
      <w:r w:rsidR="000F0AD1" w:rsidRPr="000F0AD1">
        <w:t>t is clear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41ADC4E3" w14:textId="6EAB1C1D" w:rsidR="00C44AE8" w:rsidRDefault="00F117BF" w:rsidP="00C44AE8">
      <w:pPr>
        <w:pStyle w:val="BodyText"/>
      </w:pPr>
      <w:r>
        <w:t>T</w:t>
      </w:r>
      <w:r w:rsidR="000F0AD1">
        <w:t xml:space="preserve">he sensitivity </w:t>
      </w:r>
      <w:r>
        <w:t xml:space="preserve">for each </w:t>
      </w:r>
      <w:r w:rsidR="000F0AD1">
        <w:t>metric</w:t>
      </w:r>
      <w:r>
        <w:t xml:space="preserve"> is given </w:t>
      </w:r>
      <w:r w:rsidR="002A1756">
        <w:t xml:space="preserve">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t xml:space="preserve">. </w:t>
      </w:r>
      <w:r w:rsidR="000F0AD1">
        <w:t xml:space="preserve">For example, for HMM/SdA, we see the lowest sensitivities are produced by </w:t>
      </w:r>
      <w:r w:rsidR="00F35083">
        <w:t xml:space="preserve">the </w:t>
      </w:r>
      <w:r w:rsidR="000F0AD1">
        <w:t xml:space="preserve">TAES and EPOCH </w:t>
      </w:r>
      <w:r w:rsidR="00F35083">
        <w:t>metrics</w:t>
      </w:r>
      <w:r w:rsidR="000F0AD1">
        <w:t>,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w:t>
      </w:r>
      <w:r w:rsidR="00F35083">
        <w:t xml:space="preserve"> even though the scale of the numbers varies by metric</w:t>
      </w:r>
      <w:r w:rsidR="000F0AD1">
        <w:t>. HMM/SdA consistently scores the lowest and CNN/LSTM consistently scores the highest. The other three systems are very similar in their performance.</w:t>
      </w:r>
    </w:p>
    <w:p w14:paraId="6F975848" w14:textId="356289C2" w:rsidR="00EF5E13" w:rsidRDefault="000F0AD1" w:rsidP="00C44AE8">
      <w:pPr>
        <w:pStyle w:val="BodyText"/>
      </w:pPr>
      <w:r>
        <w:t xml:space="preserve">The ATWV scores for all algorithms are extremely low. The ATWV scores are below </w:t>
      </w:r>
      <m:oMath>
        <m:r>
          <w:rPr>
            <w:rFonts w:ascii="Cambria Math" w:hAnsi="Cambria Math"/>
          </w:rPr>
          <m:t>0.5</m:t>
        </m:r>
      </m:oMath>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r w:rsidR="00720FCA">
        <w:fldChar w:fldCharType="begin"/>
      </w:r>
      <w:r w:rsidR="00720FCA">
        <w:instrText xml:space="preserve"> REF _Ref499137849 \* mergeformat</w:instrText>
      </w:r>
      <w:r w:rsidR="00720FCA">
        <w:fldChar w:fldCharType="separate"/>
      </w:r>
      <w:r w:rsidR="00FF1B3A" w:rsidRPr="00E91D8D">
        <w:t>Figure 11</w:t>
      </w:r>
      <w:r w:rsidR="00720FCA">
        <w:fldChar w:fldCharType="end"/>
      </w:r>
      <w:r>
        <w:t xml:space="preserve">. The DET curves for HMM/LSTM and HMM/SdA overlap considerably for an FP rate between </w:t>
      </w:r>
      <m:oMath>
        <m:r>
          <w:rPr>
            <w:rFonts w:ascii="Cambria Math" w:hAnsi="Cambria Math"/>
          </w:rPr>
          <m:t>0.25</m:t>
        </m:r>
      </m:oMath>
      <w:r>
        <w:t xml:space="preserve"> and </w:t>
      </w:r>
      <m:oMath>
        <m:r>
          <w:rPr>
            <w:rFonts w:ascii="Cambria Math" w:hAnsi="Cambria Math"/>
          </w:rPr>
          <m:t>1.0</m:t>
        </m:r>
      </m:oMath>
      <w:r>
        <w:t>, and this is a primary reason why their ATWV scores are similar. However, for</w:t>
      </w:r>
      <w:r w:rsidR="00D029E9">
        <w:t xml:space="preserve"> </w:t>
      </w:r>
      <w:r>
        <w:t>seizure detection</w:t>
      </w:r>
      <w:r w:rsidR="00D029E9">
        <w:t xml:space="preserve"> </w:t>
      </w:r>
      <w:r>
        <w:t>we are primarily interested in the low FP rate region, and in that range, HMM/LSTM and IPCA/LSTM perform similarly.</w:t>
      </w:r>
    </w:p>
    <w:p w14:paraId="373F86E7" w14:textId="49FBB620" w:rsidR="00F35083" w:rsidRDefault="007001D0" w:rsidP="00F35083">
      <w:pPr>
        <w:pStyle w:val="BodyText"/>
      </w:pPr>
      <w:r>
        <w:rPr>
          <w:noProof/>
          <w:sz w:val="24"/>
          <w:szCs w:val="24"/>
        </w:rPr>
        <mc:AlternateContent>
          <mc:Choice Requires="wps">
            <w:drawing>
              <wp:anchor distT="137160" distB="137160" distL="137160" distR="137160" simplePos="0" relativeHeight="251683840" behindDoc="0" locked="0" layoutInCell="1" allowOverlap="0" wp14:anchorId="1B901DFF" wp14:editId="6A49B0D6">
                <wp:simplePos x="0" y="0"/>
                <wp:positionH relativeFrom="margin">
                  <wp:align>right</wp:align>
                </wp:positionH>
                <wp:positionV relativeFrom="margin">
                  <wp:align>bottom</wp:align>
                </wp:positionV>
                <wp:extent cx="2139696" cy="1325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132588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77E9" w14:textId="35757F00" w:rsidR="00FF1B3A" w:rsidRPr="006B1D14" w:rsidRDefault="00FF1B3A" w:rsidP="000D1EA5">
                            <w:pPr>
                              <w:pStyle w:val="Caption"/>
                              <w:spacing w:after="120"/>
                              <w:jc w:val="center"/>
                              <w:rPr>
                                <w:sz w:val="18"/>
                                <w:szCs w:val="18"/>
                              </w:rPr>
                            </w:pPr>
                            <w:bookmarkStart w:id="42"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42"/>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01DFF" id="Text Box 29" o:spid="_x0000_s1037" type="#_x0000_t202" style="position:absolute;left:0;text-align:left;margin-left:117.3pt;margin-top:0;width:168.5pt;height:104.4pt;z-index:25168384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" o:allowoverlap="f" fillcolor="#e1e1e1" stroked="f">
                <v:fill opacity="0"/>
                <v:textbox inset="0,0,0,0">
                  <w:txbxContent>
                    <w:p w14:paraId="02DB77E9" w14:textId="35757F00" w:rsidR="00FF1B3A" w:rsidRPr="006B1D14" w:rsidRDefault="00FF1B3A" w:rsidP="000D1EA5">
                      <w:pPr>
                        <w:pStyle w:val="Caption"/>
                        <w:spacing w:after="120"/>
                        <w:jc w:val="center"/>
                        <w:rPr>
                          <w:sz w:val="18"/>
                          <w:szCs w:val="18"/>
                        </w:rPr>
                      </w:pPr>
                      <w:bookmarkStart w:id="43"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43"/>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v:textbox>
                <w10:wrap type="square" anchorx="margin" anchory="margin"/>
              </v:shape>
            </w:pict>
          </mc:Fallback>
        </mc:AlternateContent>
      </w:r>
      <w:r w:rsidR="00F35083">
        <w:t xml:space="preserve">When a single metric is preferred, the area under a </w:t>
      </w:r>
      <w:r w:rsidR="00FD0776">
        <w:t xml:space="preserve">DET or </w:t>
      </w:r>
      <w:r w:rsidR="00F35083">
        <w:t xml:space="preserve">ROC curve (AUC) is also an effective way of comparing the performance. A random guessing approach to classification, assuming equal priors for each class, will give an AUC of </w:t>
      </w:r>
      <m:oMath>
        <m:r>
          <w:rPr>
            <w:rFonts w:ascii="Cambria Math" w:hAnsi="Cambria Math"/>
          </w:rPr>
          <m:t>0.5</m:t>
        </m:r>
      </m:oMath>
      <w:r w:rsidR="00F35083">
        <w:t xml:space="preserve"> while a perfect classifier will give an AUC of </w:t>
      </w:r>
      <m:oMath>
        <m:r>
          <w:rPr>
            <w:rFonts w:ascii="Cambria Math" w:hAnsi="Cambria Math"/>
          </w:rPr>
          <m:t>1.0</m:t>
        </m:r>
      </m:oMath>
      <w:r w:rsidR="00F35083">
        <w:t>.</w:t>
      </w:r>
      <w:r w:rsidR="00F35083" w:rsidRPr="008378D6">
        <w:rPr>
          <w:noProof/>
        </w:rPr>
        <w:t xml:space="preserve"> </w:t>
      </w:r>
      <w:r w:rsidR="00F35083">
        <w:rPr>
          <w:noProof/>
        </w:rPr>
        <w:t>I</w:t>
      </w:r>
      <w:r w:rsidR="00F35083" w:rsidRPr="000F0AD1">
        <w:t xml:space="preserve">n </w:t>
      </w:r>
      <w:r w:rsidR="00720FCA">
        <w:fldChar w:fldCharType="begin"/>
      </w:r>
      <w:r w:rsidR="00720FCA">
        <w:instrText xml:space="preserve"> REF _Ref510733589 \* mergeformat</w:instrText>
      </w:r>
      <w:r w:rsidR="00720FCA">
        <w:fldChar w:fldCharType="separate"/>
      </w:r>
      <w:r w:rsidR="00FF1B3A" w:rsidRPr="00E91D8D">
        <w:t>Table 3</w:t>
      </w:r>
      <w:r w:rsidR="00720FCA">
        <w:fldChar w:fldCharType="end"/>
      </w:r>
      <w:r w:rsidR="00F35083" w:rsidRPr="000F0AD1">
        <w:t xml:space="preserve"> we provide AUCs for these DET curves calculated using OVLP and TAES for comparison.</w:t>
      </w:r>
      <w:r w:rsidR="00F35083">
        <w:t xml:space="preserve"> AUC values in </w:t>
      </w:r>
      <w:r w:rsidR="00720FCA">
        <w:fldChar w:fldCharType="begin"/>
      </w:r>
      <w:r w:rsidR="00720FCA">
        <w:instrText xml:space="preserve"> REF _Ref510733589 \* mergeformat</w:instrText>
      </w:r>
      <w:r w:rsidR="00720FCA">
        <w:fldChar w:fldCharType="separate"/>
      </w:r>
      <w:r w:rsidR="00FF1B3A" w:rsidRPr="00E91D8D">
        <w:t>Table 3</w:t>
      </w:r>
      <w:r w:rsidR="00720FCA">
        <w:fldChar w:fldCharType="end"/>
      </w:r>
      <w:r w:rsidR="00F35083" w:rsidRPr="000F0AD1">
        <w:t xml:space="preserve"> also follow </w:t>
      </w:r>
      <w:r w:rsidR="00F35083">
        <w:t xml:space="preserve">a </w:t>
      </w:r>
      <w:r w:rsidR="00F35083" w:rsidRPr="000F0AD1">
        <w:t>similar trend</w:t>
      </w:r>
      <w:r w:rsidR="00F35083">
        <w:t xml:space="preserve"> </w:t>
      </w:r>
      <w:r w:rsidR="00F35083" w:rsidRPr="000F0AD1">
        <w:t xml:space="preserve">but the differences </w:t>
      </w:r>
      <w:r w:rsidR="00F35083">
        <w:t xml:space="preserve">are </w:t>
      </w:r>
      <w:r w:rsidR="00F35083" w:rsidRPr="000F0AD1">
        <w:t xml:space="preserve">less pronounced </w:t>
      </w:r>
      <w:r w:rsidR="00F35083">
        <w:t xml:space="preserve">than in </w:t>
      </w:r>
      <w:r w:rsidR="00720FCA">
        <w:fldChar w:fldCharType="begin"/>
      </w:r>
      <w:r w:rsidR="00720FCA">
        <w:instrText xml:space="preserve"> REF _Ref499137849 \* mergeformat</w:instrText>
      </w:r>
      <w:r w:rsidR="00720FCA">
        <w:fldChar w:fldCharType="separate"/>
      </w:r>
      <w:r w:rsidR="00FF1B3A" w:rsidRPr="00E91D8D">
        <w:t>Figure 11</w:t>
      </w:r>
      <w:r w:rsidR="00720FCA">
        <w:fldChar w:fldCharType="end"/>
      </w:r>
      <w:r w:rsidR="00F35083">
        <w:t xml:space="preserve"> or </w:t>
      </w:r>
      <w:r w:rsidR="002A1756">
        <w:t xml:space="preserve">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rsidR="002A1756">
        <w:t>.</w:t>
      </w:r>
    </w:p>
    <w:p w14:paraId="6BE6692D" w14:textId="4F3C826E" w:rsidR="00D325F3" w:rsidRDefault="00F35083" w:rsidP="00F35083">
      <w:pPr>
        <w:pStyle w:val="BodyText"/>
      </w:pPr>
      <w:r>
        <w:t>Note that the AUC value for the presumptive best system, CNN/LSTM</w:t>
      </w:r>
      <w:r w:rsidR="00D325F3">
        <w:t xml:space="preserve">, is significantly lower than the other four </w:t>
      </w:r>
      <w:r w:rsidR="00D325F3">
        <w:lastRenderedPageBreak/>
        <w:t xml:space="preserve">systems. If we examined the AUC in the FPR range of </w:t>
      </w:r>
      <m:oMath>
        <m:r>
          <w:rPr>
            <w:rFonts w:ascii="Cambria Math" w:hAnsi="Cambria Math"/>
          </w:rPr>
          <m:t>[0.0, 0.2]</m:t>
        </m:r>
      </m:oMath>
      <w:r w:rsidR="00D325F3">
        <w:t xml:space="preserve">, which corresponds to a low FA rate, and is the region of greatest interest, CNN/LSTM is still significantly better than the other algorithms, but the margin of difference shrinks slightly. The difference in the FPR range of </w:t>
      </w:r>
      <m:oMath>
        <m:r>
          <w:rPr>
            <w:rFonts w:ascii="Cambria Math" w:hAnsi="Cambria Math"/>
          </w:rPr>
          <m:t>[0.2, 0.8]</m:t>
        </m:r>
      </m:oMath>
      <w:r w:rsidR="00D325F3">
        <w:t xml:space="preserve"> is more pronounced. This is something we often see when evaluating new machine learning algorithms. They tend to deliver their best performance in the upper ranges of FPR but are not as impressive when the FPR rate is very low. This suggests the major issues an algorithm need</w:t>
      </w:r>
      <w:r w:rsidR="0090670B">
        <w:t>s</w:t>
      </w:r>
      <w:r w:rsidR="00D325F3">
        <w:t xml:space="preserve"> to address </w:t>
      </w:r>
      <w:r w:rsidR="00D029E9">
        <w:t xml:space="preserve">in the low FPR region </w:t>
      </w:r>
      <w:r w:rsidR="00D325F3">
        <w:t xml:space="preserve">are more related to auxiliary issues such as </w:t>
      </w:r>
      <w:r w:rsidR="00D029E9">
        <w:t xml:space="preserve">segmentation and </w:t>
      </w:r>
      <w:r w:rsidR="00D325F3">
        <w:t>noise rejection rather than optimal modeling of a complex decision surface.</w:t>
      </w:r>
      <w:r w:rsidR="00D029E9">
        <w:t xml:space="preserve"> It is not uncommon that in machine learning applications involving real-world applications, such as clinical data, low-level issues such as segmentation of the data and robustness to spurious noises ultimately limit performance.</w:t>
      </w:r>
    </w:p>
    <w:p w14:paraId="26B1A340" w14:textId="51AD31BA" w:rsidR="00D26B52" w:rsidRPr="00D26B52" w:rsidRDefault="000F0AD1" w:rsidP="00D26B52">
      <w:pPr>
        <w:pStyle w:val="heading2"/>
      </w:pPr>
      <w:r>
        <w:t>Accuracy</w:t>
      </w:r>
      <w:r w:rsidR="00D93FCE">
        <w:t xml:space="preserve"> and Other Derived Scores</w:t>
      </w:r>
    </w:p>
    <w:p w14:paraId="30895AD0" w14:textId="47B75EDD" w:rsidR="000F0AD1" w:rsidRDefault="000F0AD1" w:rsidP="000F0AD1">
      <w:pPr>
        <w:pStyle w:val="BodyText"/>
      </w:pPr>
      <w:r>
        <w:t xml:space="preserve">A </w:t>
      </w:r>
      <w:r w:rsidRPr="000F0AD1">
        <w:t xml:space="preserve">commonly used metric in the machine learning community that is somewhat intuitive is accuracy. </w:t>
      </w:r>
      <w:r>
        <w:t>The accurac</w:t>
      </w:r>
      <w:r w:rsidR="009B5A9D">
        <w:t xml:space="preserve">ies </w:t>
      </w:r>
      <w:r>
        <w:t xml:space="preserve">of the five systems </w:t>
      </w:r>
      <w:r w:rsidR="009B5A9D">
        <w:t xml:space="preserve">are </w:t>
      </w:r>
      <w:r>
        <w:t xml:space="preserve">shown in </w:t>
      </w:r>
      <w:r w:rsidR="00720FCA">
        <w:fldChar w:fldCharType="begin"/>
      </w:r>
      <w:r w:rsidR="00720FCA">
        <w:instrText xml:space="preserve"> REF _Ref499158033 \* mergeformat</w:instrText>
      </w:r>
      <w:r w:rsidR="00720FCA">
        <w:fldChar w:fldCharType="separate"/>
      </w:r>
      <w:r w:rsidR="00FF1B3A" w:rsidRPr="00E91D8D">
        <w:t>Table 4</w:t>
      </w:r>
      <w:r w:rsidR="00720FCA">
        <w:fldChar w:fldCharType="end"/>
      </w:r>
      <w:r>
        <w:t xml:space="preserve">. Accuracy </w:t>
      </w:r>
      <w:r w:rsidR="00D029E9">
        <w:t xml:space="preserve">places </w:t>
      </w:r>
      <w:r w:rsidR="0090670B">
        <w:t xml:space="preserve">an </w:t>
      </w:r>
      <w:r w:rsidR="00D029E9">
        <w:t xml:space="preserve">equal </w:t>
      </w:r>
      <w:r>
        <w:t>weight</w:t>
      </w:r>
      <w:r w:rsidR="0090670B">
        <w:t xml:space="preserve"> </w:t>
      </w:r>
      <w:r w:rsidR="00D029E9">
        <w:t xml:space="preserve">on </w:t>
      </w:r>
      <w:r w:rsidR="0090670B">
        <w:t xml:space="preserve">each </w:t>
      </w:r>
      <w:r>
        <w:t>type of error</w:t>
      </w:r>
      <w:r w:rsidR="0090670B">
        <w:t xml:space="preserve"> </w:t>
      </w:r>
      <w:r w:rsidR="00D029E9">
        <w:t>(though i</w:t>
      </w:r>
      <w:r w:rsidR="00D471BB">
        <w:t>t is possible to apply heuristic weights in practice)</w:t>
      </w:r>
      <w:r>
        <w:t xml:space="preserve">. This is acceptable if the dataset is balanced. However, for many bioengineering applications, such as seizure detection, the target class, or class of interest, occurs infrequently. </w:t>
      </w:r>
      <w:r w:rsidR="00D471BB">
        <w:t xml:space="preserve">According to the accuracies presented in </w:t>
      </w:r>
      <w:r w:rsidR="00720FCA">
        <w:fldChar w:fldCharType="begin"/>
      </w:r>
      <w:r w:rsidR="00720FCA">
        <w:instrText xml:space="preserve"> REF _Ref499158033 \* mergeformat</w:instrText>
      </w:r>
      <w:r w:rsidR="00720FCA">
        <w:fldChar w:fldCharType="separate"/>
      </w:r>
      <w:r w:rsidR="00FF1B3A" w:rsidRPr="00E91D8D">
        <w:t>Table 4</w:t>
      </w:r>
      <w:r w:rsidR="00720FCA">
        <w:fldChar w:fldCharType="end"/>
      </w:r>
      <w:r w:rsidR="00D471BB">
        <w:t>, w</w:t>
      </w:r>
      <w:r>
        <w:t xml:space="preserve">e see that CNN/LSTM is </w:t>
      </w:r>
      <w:r w:rsidR="009B5A9D">
        <w:t xml:space="preserve">still </w:t>
      </w:r>
      <w:r>
        <w:t>significantly more accurate than the other four systems</w:t>
      </w:r>
      <w:r w:rsidR="00D471BB">
        <w:t xml:space="preserve"> and </w:t>
      </w:r>
      <w:r>
        <w:t>the differences between the</w:t>
      </w:r>
      <w:r w:rsidR="009B5A9D">
        <w:t xml:space="preserve"> </w:t>
      </w:r>
      <w:r>
        <w:t xml:space="preserve">remaining four systems </w:t>
      </w:r>
      <w:r w:rsidR="00D471BB">
        <w:t xml:space="preserve">are </w:t>
      </w:r>
      <w:r>
        <w:t>minimal</w:t>
      </w:r>
      <w:r w:rsidR="009B5A9D">
        <w:t>.</w:t>
      </w:r>
    </w:p>
    <w:p w14:paraId="1A2638F6" w14:textId="72E1E09C" w:rsidR="00D325F3" w:rsidRDefault="000F0AD1" w:rsidP="009B5A9D">
      <w:pPr>
        <w:pStyle w:val="BodyText"/>
      </w:pPr>
      <w:r w:rsidRPr="000F0AD1">
        <w:t xml:space="preserve">Another popular metric that attempts to aggregate performance into a single data point, and is popular in </w:t>
      </w:r>
      <w:r>
        <w:t>the information retrieval communities, is the F</w:t>
      </w:r>
      <w:r w:rsidRPr="000F0AD1">
        <w:t>1</w:t>
      </w:r>
      <w:r>
        <w:t xml:space="preserve"> score. </w:t>
      </w:r>
      <w:r w:rsidR="00D471BB">
        <w:t xml:space="preserve">F1 </w:t>
      </w:r>
      <w:r>
        <w:t xml:space="preserve">scores for the five systems are shown in </w:t>
      </w:r>
      <w:r w:rsidR="00720FCA">
        <w:fldChar w:fldCharType="begin"/>
      </w:r>
      <w:r w:rsidR="00720FCA">
        <w:instrText xml:space="preserve"> REF _Ref499394444 \* mergeformat</w:instrText>
      </w:r>
      <w:r w:rsidR="00720FCA">
        <w:fldChar w:fldCharType="separate"/>
      </w:r>
      <w:r w:rsidR="00FF1B3A" w:rsidRPr="00E91D8D">
        <w:t>Table 5</w:t>
      </w:r>
      <w:r w:rsidR="00720FCA">
        <w:fldChar w:fldCharType="end"/>
      </w:r>
      <w:r>
        <w:t xml:space="preserve">. We see there are significant variations </w:t>
      </w:r>
      <w:r w:rsidR="00D471BB">
        <w:t xml:space="preserve">between the systems and the results don’t completely correlate with </w:t>
      </w:r>
      <w:r w:rsidR="00720FCA">
        <w:fldChar w:fldCharType="begin"/>
      </w:r>
      <w:r w:rsidR="00720FCA">
        <w:instrText xml:space="preserve"> REF _Ref499158033 \* mergeformat</w:instrText>
      </w:r>
      <w:r w:rsidR="00720FCA">
        <w:fldChar w:fldCharType="separate"/>
      </w:r>
      <w:r w:rsidR="00FF1B3A" w:rsidRPr="00E91D8D">
        <w:t>Table 4</w:t>
      </w:r>
      <w:r w:rsidR="00720FCA">
        <w:fldChar w:fldCharType="end"/>
      </w:r>
      <w:r w:rsidR="00D471BB">
        <w:t xml:space="preserve">. </w:t>
      </w:r>
      <w:r>
        <w:t xml:space="preserve">For example, for the TAES and EPOCH metrics, which </w:t>
      </w:r>
      <w:r w:rsidR="00F71F5E">
        <w:t xml:space="preserve">emphasize </w:t>
      </w:r>
      <w:r>
        <w:t>time alignments, the best performing system is not CNN/LSTM. F</w:t>
      </w:r>
      <w:r w:rsidRPr="000F0AD1">
        <w:t>1</w:t>
      </w:r>
      <w:r>
        <w:t xml:space="preserve"> scores </w:t>
      </w:r>
      <w:r w:rsidR="00266690">
        <w:t>weigh</w:t>
      </w:r>
      <w:r w:rsidR="00F71F5E">
        <w:t xml:space="preserve"> </w:t>
      </w:r>
      <w:r w:rsidR="00266690">
        <w:t xml:space="preserve">miss and false alarm </w:t>
      </w:r>
      <w:r w:rsidR="00F71F5E">
        <w:t xml:space="preserve">errors </w:t>
      </w:r>
      <w:r w:rsidR="00266690">
        <w:t>equally</w:t>
      </w:r>
      <w:r w:rsidR="00F71F5E">
        <w:t>. I</w:t>
      </w:r>
      <w:r w:rsidR="00D471BB">
        <w:t>n our experience</w:t>
      </w:r>
      <w:r w:rsidR="00266690">
        <w:t xml:space="preserve">, changing the weight of these errors </w:t>
      </w:r>
      <w:r w:rsidR="009959D2">
        <w:t xml:space="preserve">(e.g. F-score with </w:t>
      </w:r>
      <w:r w:rsidR="00F0371A">
        <w:t>beta</w:t>
      </w:r>
      <w:r w:rsidR="009959D2">
        <w:t xml:space="preserve"> value 0.2) </w:t>
      </w:r>
      <w:r>
        <w:t>do</w:t>
      </w:r>
      <w:r w:rsidR="00F71F5E">
        <w:t xml:space="preserve">es </w:t>
      </w:r>
      <w:r>
        <w:t xml:space="preserve">not adequately emphasize </w:t>
      </w:r>
      <w:r w:rsidR="00D471BB">
        <w:t xml:space="preserve">the </w:t>
      </w:r>
      <w:r>
        <w:t>FA</w:t>
      </w:r>
      <w:r w:rsidR="00D471BB">
        <w:t xml:space="preserve"> rate </w:t>
      </w:r>
      <w:r>
        <w:t>for applications such as seizure detection</w:t>
      </w:r>
      <w:r w:rsidR="00D471BB">
        <w:t xml:space="preserve"> where the classes are </w:t>
      </w:r>
      <w:r w:rsidR="00F71F5E">
        <w:t>unbalanced.</w:t>
      </w:r>
    </w:p>
    <w:p w14:paraId="0943FA70" w14:textId="5E72B99B" w:rsidR="001B44A7" w:rsidRPr="001B44A7" w:rsidRDefault="00FE6F96" w:rsidP="001B44A7">
      <w:pPr>
        <w:pStyle w:val="BodyText"/>
      </w:pPr>
      <w:r>
        <w:t>The Matthews Correlation Coefficient (</w:t>
      </w:r>
      <w:r w:rsidR="00D93FCE">
        <w:t>MCC</w:t>
      </w:r>
      <w:r>
        <w:t>) </w:t>
      </w:r>
      <w:r>
        <w:fldChar w:fldCharType="begin"/>
      </w:r>
      <w:r>
        <w:instrText xml:space="preserve"> REF _Ref37166924 \n </w:instrText>
      </w:r>
      <w:r w:rsidR="001B44A7">
        <w:instrText xml:space="preserve"> \* MERGEFORMAT </w:instrText>
      </w:r>
      <w:r>
        <w:fldChar w:fldCharType="separate"/>
      </w:r>
      <w:r w:rsidR="00FF1B3A">
        <w:t>[28]</w:t>
      </w:r>
      <w:r>
        <w:fldChar w:fldCharType="end"/>
      </w:r>
      <w:r w:rsidR="001B44A7">
        <w:t xml:space="preserve"> is a</w:t>
      </w:r>
      <w:r w:rsidRPr="001B44A7">
        <w:t xml:space="preserve">n effective solution </w:t>
      </w:r>
      <w:r w:rsidR="001B44A7">
        <w:t xml:space="preserve">when a significant </w:t>
      </w:r>
      <w:r w:rsidRPr="001B44A7">
        <w:t>class imbalance</w:t>
      </w:r>
      <w:r w:rsidR="001B44A7">
        <w:t xml:space="preserve"> exists</w:t>
      </w:r>
      <w:r w:rsidR="00D471BB">
        <w:t xml:space="preserve">. </w:t>
      </w:r>
      <w:r w:rsidR="007B7B69">
        <w:t xml:space="preserve">MCC </w:t>
      </w:r>
      <w:r w:rsidR="001B44A7" w:rsidRPr="001B44A7">
        <w:t>is a contingency matrix method of calculating the </w:t>
      </w:r>
      <w:r w:rsidR="001B44A7" w:rsidRPr="007B7B69">
        <w:t>Pearson product-moment correlation coefficient</w:t>
      </w:r>
      <w:r w:rsidR="007B7B69">
        <w:t> </w:t>
      </w:r>
      <w:r w:rsidR="00720FCA">
        <w:fldChar w:fldCharType="begin"/>
      </w:r>
      <w:r w:rsidR="00720FCA">
        <w:instrText xml:space="preserve"> REF _Ref37508893 \n  \* MERGEFORMAT </w:instrText>
      </w:r>
      <w:r w:rsidR="00720FCA">
        <w:fldChar w:fldCharType="separate"/>
      </w:r>
      <w:r w:rsidR="00FF1B3A">
        <w:t>[47]</w:t>
      </w:r>
      <w:r w:rsidR="00720FCA">
        <w:fldChar w:fldCharType="end"/>
      </w:r>
      <w:r w:rsidR="007B7B69">
        <w:t xml:space="preserve"> </w:t>
      </w:r>
      <w:r w:rsidR="001B44A7" w:rsidRPr="001B44A7">
        <w:t xml:space="preserve">between actual and predicted values. </w:t>
      </w:r>
      <w:r w:rsidR="001B44A7">
        <w:t>R</w:t>
      </w:r>
      <w:r w:rsidRPr="001B44A7">
        <w:t>ecall (</w:t>
      </w:r>
      <w:r w:rsidR="00D471BB">
        <w:t xml:space="preserve">sensitivity) </w:t>
      </w:r>
      <w:r w:rsidR="00905B3A">
        <w:t>is t</w:t>
      </w:r>
      <w:r w:rsidRPr="001B44A7">
        <w:t xml:space="preserve">he fraction of relevant samples that are correctly retrieved. </w:t>
      </w:r>
      <w:r w:rsidR="00D471BB">
        <w:t>I</w:t>
      </w:r>
      <w:r w:rsidRPr="001B44A7">
        <w:t xml:space="preserve">ts dual metric, precision, </w:t>
      </w:r>
      <w:r w:rsidR="00905B3A">
        <w:t>is t</w:t>
      </w:r>
      <w:r w:rsidRPr="001B44A7">
        <w:t xml:space="preserve">he fraction of retrieved </w:t>
      </w:r>
      <w:r w:rsidR="00905B3A">
        <w:t xml:space="preserve">samples </w:t>
      </w:r>
      <w:r w:rsidRPr="001B44A7">
        <w:t>that are relevant. Meaningfully combining precision and recall generates alternative performance evaluation measures</w:t>
      </w:r>
      <w:r w:rsidR="00905B3A">
        <w:t xml:space="preserve"> such as the F1 ratio, which combines these scores </w:t>
      </w:r>
      <w:r w:rsidR="001B44A7">
        <w:t xml:space="preserve">using a geometric mean. </w:t>
      </w:r>
      <w:r w:rsidR="007B7B69" w:rsidRPr="001B44A7">
        <w:t>MCC takes into account all four values in the confusion matrix</w:t>
      </w:r>
      <w:r w:rsidR="007B7B69">
        <w:t xml:space="preserve">. A </w:t>
      </w:r>
      <w:r w:rsidR="007B7B69" w:rsidRPr="007B7B69">
        <w:t>value</w:t>
      </w:r>
      <w:r w:rsidR="007B7B69">
        <w:t xml:space="preserve"> </w:t>
      </w:r>
      <w:r w:rsidR="007B7B69" w:rsidRPr="007B7B69">
        <w:t xml:space="preserve">close to </w:t>
      </w:r>
      <m:oMath>
        <m:r>
          <w:rPr>
            <w:rFonts w:ascii="Cambria Math" w:hAnsi="Cambria Math"/>
          </w:rPr>
          <m:t>1.0</m:t>
        </m:r>
      </m:oMath>
      <w:r w:rsidR="007B7B69">
        <w:t xml:space="preserve"> </w:t>
      </w:r>
      <w:r w:rsidR="007B7B69" w:rsidRPr="007B7B69">
        <w:t>means that both classes are predicted well</w:t>
      </w:r>
      <w:r w:rsidR="007B7B69" w:rsidRPr="001B44A7">
        <w:t>,</w:t>
      </w:r>
      <w:r w:rsidR="007B7B69" w:rsidRPr="007B7B69">
        <w:t> </w:t>
      </w:r>
      <w:r w:rsidR="007B7B69" w:rsidRPr="001B44A7">
        <w:t>even if one class is disproportionately</w:t>
      </w:r>
      <w:r w:rsidR="007B7B69">
        <w:t xml:space="preserve"> </w:t>
      </w:r>
      <w:r w:rsidR="007B7B69" w:rsidRPr="001B44A7">
        <w:t>represented.</w:t>
      </w:r>
      <w:r w:rsidR="007B7B69">
        <w:t xml:space="preserve"> Since </w:t>
      </w:r>
      <w:r w:rsidR="001B44A7" w:rsidRPr="001B44A7">
        <w:t>MCC</w:t>
      </w:r>
      <w:r w:rsidR="007B7B69">
        <w:t xml:space="preserve"> is a correlation coefficient, it ranges from </w:t>
      </w:r>
      <m:oMath>
        <m:r>
          <w:rPr>
            <w:rFonts w:ascii="Cambria Math" w:hAnsi="Cambria Math"/>
          </w:rPr>
          <m:t>[-1, 1]</m:t>
        </m:r>
      </m:oMath>
      <w:r w:rsidR="007B7B69">
        <w:t>. P</w:t>
      </w:r>
      <w:r w:rsidR="001B44A7" w:rsidRPr="001B44A7">
        <w:t>erfect misclassification</w:t>
      </w:r>
      <w:r w:rsidR="007B7B69">
        <w:t xml:space="preserve"> corresponds to a value of </w:t>
      </w:r>
      <m:oMath>
        <m:r>
          <w:rPr>
            <w:rFonts w:ascii="Cambria Math" w:hAnsi="Cambria Math"/>
          </w:rPr>
          <m:t>-1</m:t>
        </m:r>
      </m:oMath>
      <w:r w:rsidR="007B7B69">
        <w:t xml:space="preserve">, </w:t>
      </w:r>
      <w:r w:rsidR="001B44A7" w:rsidRPr="001B44A7">
        <w:t>perfect classification</w:t>
      </w:r>
      <w:r w:rsidR="007B7B69">
        <w:t xml:space="preserve"> corresponds to a </w:t>
      </w:r>
      <w:r w:rsidR="007B7B69">
        <w:lastRenderedPageBreak/>
        <w:t>value of</w:t>
      </w:r>
      <w:r w:rsidR="00D25562">
        <w:t> </w:t>
      </w:r>
      <m:oMath>
        <m:r>
          <w:rPr>
            <w:rFonts w:ascii="Cambria Math" w:hAnsi="Cambria Math"/>
          </w:rPr>
          <m:t>1.0</m:t>
        </m:r>
      </m:oMath>
      <w:r w:rsidR="007B7B69">
        <w:t xml:space="preserve">, and random guessing with equal priors corresponds to a value of </w:t>
      </w:r>
      <m:oMath>
        <m:r>
          <w:rPr>
            <w:rFonts w:ascii="Cambria Math" w:hAnsi="Cambria Math"/>
          </w:rPr>
          <m:t>0.0</m:t>
        </m:r>
      </m:oMath>
      <w:r w:rsidR="007B7B69">
        <w:t xml:space="preserve">. Since no class </w:t>
      </w:r>
      <w:r w:rsidR="001B44A7" w:rsidRPr="001B44A7">
        <w:t>is more important than the other</w:t>
      </w:r>
      <w:r w:rsidR="007B7B69">
        <w:t>, MCC is symmetric.</w:t>
      </w:r>
    </w:p>
    <w:p w14:paraId="120F89F2" w14:textId="72474FBD" w:rsidR="007B7B69" w:rsidRDefault="007001D0" w:rsidP="007B7B69">
      <w:pPr>
        <w:pStyle w:val="BodyText"/>
      </w:pPr>
      <w:r>
        <w:rPr>
          <w:noProof/>
          <w:sz w:val="24"/>
          <w:szCs w:val="24"/>
        </w:rPr>
        <mc:AlternateContent>
          <mc:Choice Requires="wps">
            <w:drawing>
              <wp:anchor distT="137160" distB="137160" distL="137160" distR="137160" simplePos="0" relativeHeight="251685888" behindDoc="0" locked="0" layoutInCell="1" allowOverlap="0" wp14:anchorId="1E8BA5FC" wp14:editId="1D46843A">
                <wp:simplePos x="0" y="0"/>
                <wp:positionH relativeFrom="margin">
                  <wp:align>center</wp:align>
                </wp:positionH>
                <wp:positionV relativeFrom="margin">
                  <wp:align>bottom</wp:align>
                </wp:positionV>
                <wp:extent cx="4389120" cy="5413248"/>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413248"/>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6D91" w14:textId="1E3E5939" w:rsidR="00FF1B3A" w:rsidRPr="006B1D14" w:rsidRDefault="00FF1B3A" w:rsidP="00C44AE8">
                            <w:pPr>
                              <w:pStyle w:val="Caption"/>
                              <w:spacing w:after="120"/>
                              <w:jc w:val="center"/>
                              <w:rPr>
                                <w:sz w:val="18"/>
                                <w:szCs w:val="18"/>
                              </w:rPr>
                            </w:pPr>
                            <w:bookmarkStart w:id="44" w:name="_Ref499158033"/>
                            <w:bookmarkStart w:id="45" w:name="_Ref499161641"/>
                            <w:bookmarkStart w:id="46"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44"/>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47"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45"/>
                            <w:bookmarkEnd w:id="47"/>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46"/>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48" w:name="_Ref37507470"/>
                            <w:bookmarkStart w:id="49"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48"/>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50"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50"/>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49"/>
                          <w:p w14:paraId="6CA021E6"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BA5FC" id="Text Box 30" o:spid="_x0000_s1038" type="#_x0000_t202" style="position:absolute;left:0;text-align:left;margin-left:0;margin-top:0;width:345.6pt;height:426.25pt;z-index:25168588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" o:allowoverlap="f" fillcolor="#e1e1e1" stroked="f">
                <v:fill opacity="0"/>
                <v:textbox inset="0,0,0,0">
                  <w:txbxContent>
                    <w:p w14:paraId="6E6B6D91" w14:textId="1E3E5939" w:rsidR="00FF1B3A" w:rsidRPr="006B1D14" w:rsidRDefault="00FF1B3A" w:rsidP="00C44AE8">
                      <w:pPr>
                        <w:pStyle w:val="Caption"/>
                        <w:spacing w:after="120"/>
                        <w:jc w:val="center"/>
                        <w:rPr>
                          <w:sz w:val="18"/>
                          <w:szCs w:val="18"/>
                        </w:rPr>
                      </w:pPr>
                      <w:bookmarkStart w:id="51" w:name="_Ref499158033"/>
                      <w:bookmarkStart w:id="52" w:name="_Ref499161641"/>
                      <w:bookmarkStart w:id="53"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51"/>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54"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52"/>
                      <w:bookmarkEnd w:id="54"/>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53"/>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55" w:name="_Ref37507470"/>
                      <w:bookmarkStart w:id="56"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55"/>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57"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57"/>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56"/>
                    <w:p w14:paraId="6CA021E6" w14:textId="77777777" w:rsidR="00FF1B3A" w:rsidRDefault="00FF1B3A" w:rsidP="00C44AE8">
                      <w:pPr>
                        <w:rPr>
                          <w:sz w:val="22"/>
                          <w:szCs w:val="22"/>
                        </w:rPr>
                      </w:pPr>
                    </w:p>
                  </w:txbxContent>
                </v:textbox>
                <w10:wrap type="square" anchorx="margin" anchory="margin"/>
              </v:shape>
            </w:pict>
          </mc:Fallback>
        </mc:AlternateContent>
      </w:r>
      <w:r w:rsidR="00AF5B60">
        <w:t xml:space="preserve">In </w:t>
      </w:r>
      <w:r w:rsidR="00720FCA">
        <w:fldChar w:fldCharType="begin"/>
      </w:r>
      <w:r w:rsidR="00720FCA">
        <w:instrText xml:space="preserve"> REF _Ref37507470  \* MERGEFORMAT </w:instrText>
      </w:r>
      <w:r w:rsidR="00720FCA">
        <w:fldChar w:fldCharType="separate"/>
      </w:r>
      <w:r w:rsidR="00FF1B3A" w:rsidRPr="00E91D8D">
        <w:t>Table 6</w:t>
      </w:r>
      <w:r w:rsidR="00720FCA">
        <w:fldChar w:fldCharType="end"/>
      </w:r>
      <w:r w:rsidR="00AF5B60">
        <w:t xml:space="preserve">, we present </w:t>
      </w:r>
      <w:r w:rsidR="00905B3A">
        <w:t xml:space="preserve">MCC </w:t>
      </w:r>
      <w:r w:rsidR="00AF5B60">
        <w:t xml:space="preserve">results for the five systems and the five metrics. It is interesting to note that </w:t>
      </w:r>
      <w:r w:rsidR="00D43764">
        <w:t xml:space="preserve">for the overall best system CNN/LSTM, </w:t>
      </w:r>
      <w:r w:rsidR="00AF5B60">
        <w:t>MCC produces higher correlations for the first three metrics (ATWV, DPALIGN and OVLP). These metrics are based less on time alignments of the hypotheses. The latter two metrics (EPOCH and TAES) weigh the time alignments more heavily and generally produce lower scores because their matching criteria are more stringent.</w:t>
      </w:r>
    </w:p>
    <w:p w14:paraId="55AF5C57" w14:textId="6A5C703C" w:rsidR="00D93FCE" w:rsidRPr="009B5A9D" w:rsidRDefault="00D43764" w:rsidP="007B7B69">
      <w:pPr>
        <w:pStyle w:val="BodyText"/>
      </w:pPr>
      <w:r>
        <w:lastRenderedPageBreak/>
        <w:t>I</w:t>
      </w:r>
      <w:r w:rsidR="0026082C">
        <w:t>nter-rater agreement (I</w:t>
      </w:r>
      <w:r>
        <w:t>RA</w:t>
      </w:r>
      <w:r w:rsidR="0026082C">
        <w:t>)</w:t>
      </w:r>
      <w:r>
        <w:t xml:space="preserve"> is an extremely useful measure for the development of reference annotations. It is not uncommon that a team of annotators will be involved in the annotation of a large corpus. Individual annotators are evaluated and compared using IRA </w:t>
      </w:r>
      <w:r w:rsidR="00720FCA">
        <w:fldChar w:fldCharType="begin"/>
      </w:r>
      <w:r w:rsidR="00720FCA">
        <w:instrText xml:space="preserve"> REF _Ref37509553 \n </w:instrText>
      </w:r>
      <w:r w:rsidR="00720FCA">
        <w:fldChar w:fldCharType="separate"/>
      </w:r>
      <w:r w:rsidR="00FF1B3A">
        <w:t>[48]</w:t>
      </w:r>
      <w:r w:rsidR="00720FCA">
        <w:fldChar w:fldCharType="end"/>
      </w:r>
      <w:r>
        <w:t xml:space="preserve">. Though there are numerous ways to measure IRA, Cohen’s </w:t>
      </w:r>
      <w:r w:rsidR="00D93FCE">
        <w:t>Kappa</w:t>
      </w:r>
      <w:r>
        <w:t xml:space="preserve"> statistic, as shown in Eq. (</w:t>
      </w:r>
      <w:r w:rsidR="00720FCA">
        <w:fldChar w:fldCharType="begin"/>
      </w:r>
      <w:r w:rsidR="00720FCA">
        <w:instrText xml:space="preserve"> REF equation_kappa </w:instrText>
      </w:r>
      <w:r w:rsidR="00720FCA">
        <w:fldChar w:fldCharType="separate"/>
      </w:r>
      <w:r w:rsidR="00FF1B3A">
        <w:rPr>
          <w:noProof/>
          <w:sz w:val="18"/>
          <w:szCs w:val="18"/>
        </w:rPr>
        <w:t>14</w:t>
      </w:r>
      <w:r w:rsidR="00720FCA">
        <w:rPr>
          <w:noProof/>
          <w:sz w:val="18"/>
          <w:szCs w:val="18"/>
        </w:rPr>
        <w:fldChar w:fldCharType="end"/>
      </w:r>
      <w:r>
        <w:t xml:space="preserve">), is one of the most popular ways to compute IRA. In </w:t>
      </w:r>
      <w:r w:rsidR="00720FCA">
        <w:fldChar w:fldCharType="begin"/>
      </w:r>
      <w:r w:rsidR="00720FCA">
        <w:instrText xml:space="preserve"> REF _Ref37509930  \* MERGEFORMAT </w:instrText>
      </w:r>
      <w:r w:rsidR="00720FCA">
        <w:fldChar w:fldCharType="separate"/>
      </w:r>
      <w:r w:rsidR="00FF1B3A" w:rsidRPr="00E91D8D">
        <w:t>Table 7</w:t>
      </w:r>
      <w:r w:rsidR="00720FCA">
        <w:fldChar w:fldCharType="end"/>
      </w:r>
      <w:r>
        <w:t xml:space="preserve">, we show IRA values for the five systems. </w:t>
      </w:r>
      <w:r w:rsidR="00D64B05">
        <w:t>Again,</w:t>
      </w:r>
      <w:r>
        <w:t xml:space="preserve"> we observe that CNN/LSTM has higher IRA values than the other systems, except for the EPOCH metric. Both MCC and IRA report similar trends for CNN/LSTM v</w:t>
      </w:r>
      <w:r w:rsidR="00D64B05">
        <w:t>ersus the other four systems for the EPOCH metric.</w:t>
      </w:r>
    </w:p>
    <w:p w14:paraId="5BA42F57" w14:textId="5693CF15" w:rsidR="000F0AD1" w:rsidRDefault="009B5A9D" w:rsidP="00D64B05">
      <w:pPr>
        <w:pStyle w:val="heading2"/>
        <w:keepNext w:val="0"/>
        <w:keepLines w:val="0"/>
        <w:widowControl w:val="0"/>
        <w:ind w:left="562" w:hanging="562"/>
      </w:pPr>
      <w:r>
        <w:t>Additional Insight</w:t>
      </w:r>
    </w:p>
    <w:p w14:paraId="1BF9F0C0" w14:textId="6621B2CA" w:rsidR="000F0AD1" w:rsidRDefault="000F0AD1" w:rsidP="000F0AD1">
      <w:pPr>
        <w:pStyle w:val="BodyText"/>
      </w:pPr>
      <w:r>
        <w:t xml:space="preserve">We generally prefer operating points where performance in terms of sensitivity, specificity and FAs is balanced. The ATWV metric explicitly attempts to </w:t>
      </w:r>
      <w:r w:rsidR="00B411FC">
        <w:t xml:space="preserve">encourage </w:t>
      </w:r>
      <w:r>
        <w:t>balanc</w:t>
      </w:r>
      <w:r w:rsidR="00B411FC">
        <w:t xml:space="preserve">ing of </w:t>
      </w:r>
      <w:r>
        <w:t>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71DBFB4F" w14:textId="323B9DC1" w:rsidR="000F0AD1" w:rsidRDefault="009B5A9D" w:rsidP="00C44AE8">
      <w:pPr>
        <w:pStyle w:val="BodyText"/>
      </w:pPr>
      <w:r>
        <w:t>C</w:t>
      </w:r>
      <w:r w:rsidR="000F0AD1">
        <w:t xml:space="preserve">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longer seizure events. Similarly, if the sensitivity was relatively high for TAES and relatively low for EPOCH, it would indicate that the system tends to detect a majority of smaller to moderate events precisely regardless of the duration of an event. </w:t>
      </w:r>
      <w:r w:rsidR="00B411FC">
        <w:t xml:space="preserve">A </w:t>
      </w:r>
      <w:r w:rsidR="000F0AD1">
        <w:t>comparison of ATWV scores with other metrics gives diagnostic information such as whether a system accurately detects the onset and end of an event or whether the system splits long events into multiple short events.</w:t>
      </w:r>
    </w:p>
    <w:p w14:paraId="4075FDE7" w14:textId="41C4CAC3" w:rsidR="000F0AD1" w:rsidRDefault="000F0AD1" w:rsidP="009B5A9D">
      <w:pPr>
        <w:pStyle w:val="heading1"/>
        <w:keepNext w:val="0"/>
        <w:keepLines w:val="0"/>
        <w:widowControl w:val="0"/>
        <w:ind w:left="562" w:hanging="562"/>
      </w:pPr>
      <w:bookmarkStart w:id="58" w:name="_Ref5711158"/>
      <w:r>
        <w:t xml:space="preserve">Statistical Analysis </w:t>
      </w:r>
      <w:bookmarkEnd w:id="58"/>
    </w:p>
    <w:p w14:paraId="2B5FD0CC" w14:textId="35CC1748" w:rsidR="000F0AD1" w:rsidRDefault="000F0AD1" w:rsidP="000F0AD1">
      <w:pPr>
        <w:pStyle w:val="BodyText"/>
      </w:pPr>
      <w:r>
        <w:t xml:space="preserve">To understand the pairwise statistical difference between these evaluation metrics and </w:t>
      </w:r>
      <w:r w:rsidR="00360CCD">
        <w:t>the hybrid deep learning systems</w:t>
      </w:r>
      <w:r>
        <w:t xml:space="preserve">, we have performed </w:t>
      </w:r>
      <w:r w:rsidR="00316D69">
        <w:t xml:space="preserve">three </w:t>
      </w:r>
      <w:r>
        <w:t xml:space="preserve">tests: Kolmogorov-Smirnov (KS), Pearson’s R (correlation coefficient) and </w:t>
      </w:r>
      <m:oMath>
        <m:r>
          <w:rPr>
            <w:rFonts w:ascii="Cambria Math" w:hAnsi="Cambria Math"/>
          </w:rPr>
          <m:t>z</m:t>
        </m:r>
      </m:oMath>
      <w:r>
        <w:t>-test</w:t>
      </w:r>
      <w:r w:rsidR="00EE2476">
        <w:t> </w:t>
      </w:r>
      <w:r w:rsidR="00720FCA">
        <w:fldChar w:fldCharType="begin"/>
      </w:r>
      <w:r w:rsidR="00720FCA">
        <w:instrText xml:space="preserve"> REF _Ref37539863 \n </w:instrText>
      </w:r>
      <w:r w:rsidR="00720FCA">
        <w:fldChar w:fldCharType="separate"/>
      </w:r>
      <w:r w:rsidR="00FF1B3A">
        <w:t>[49]</w:t>
      </w:r>
      <w:r w:rsidR="00720FCA">
        <w:fldChar w:fldCharType="end"/>
      </w:r>
      <w:r>
        <w:t xml:space="preserve">. These tests were performed to evaluate results of </w:t>
      </w:r>
      <w:r w:rsidR="00360CCD">
        <w:t xml:space="preserve">these systems </w:t>
      </w:r>
      <w:r>
        <w:t xml:space="preserve">on the basis of sensitivity and specificity. Each individual patient from the TUSZ dataset was evaluated separately. Outliers were removed by rejecting all input values collected from patients which have no seizures and from those for which </w:t>
      </w:r>
      <w:r w:rsidR="00360CCD">
        <w:t xml:space="preserve">the systems </w:t>
      </w:r>
      <w:r>
        <w:t>detected no seizures.</w:t>
      </w:r>
    </w:p>
    <w:p w14:paraId="3555B7BC" w14:textId="5C810C47" w:rsidR="002264CD" w:rsidRDefault="002264CD" w:rsidP="00E30663">
      <w:pPr>
        <w:pStyle w:val="heading2"/>
      </w:pPr>
      <w:r>
        <w:lastRenderedPageBreak/>
        <w:t xml:space="preserve">Kolmogorov-Smirnov and Pearson’s R </w:t>
      </w:r>
      <w:r w:rsidR="006C5622">
        <w:t>T</w:t>
      </w:r>
      <w:r>
        <w:t>ests</w:t>
      </w:r>
    </w:p>
    <w:p w14:paraId="79CC32DD" w14:textId="6BD09257" w:rsidR="00FA16D5" w:rsidRDefault="000F0AD1" w:rsidP="00FA16D5">
      <w:pPr>
        <w:pStyle w:val="BodyText"/>
      </w:pPr>
      <w:r>
        <w:t xml:space="preserve">Prior to performing </w:t>
      </w:r>
      <w:r w:rsidR="00360CCD">
        <w:t xml:space="preserve">statistical significance </w:t>
      </w:r>
      <w:r>
        <w:t>tests</w:t>
      </w:r>
      <w:r w:rsidR="00360CCD">
        <w:t xml:space="preserve">, </w:t>
      </w:r>
      <w:r>
        <w:t xml:space="preserve">it must first be determined whether or not the group sample, </w:t>
      </w:r>
      <w:r w:rsidR="00360CCD">
        <w:t xml:space="preserve">which </w:t>
      </w:r>
      <w:r>
        <w:t xml:space="preserve">in our case </w:t>
      </w:r>
      <w:r w:rsidR="00360CCD">
        <w:t xml:space="preserve">is the </w:t>
      </w:r>
      <w:r>
        <w:t>individual metric’s score on per patient</w:t>
      </w:r>
      <w:r w:rsidR="00360CCD">
        <w:t xml:space="preserve"> basis</w:t>
      </w:r>
      <w:r>
        <w:t xml:space="preserve">, is normally distributed. We performed KS tests on each separate evaluation metric and confirmed that the group distribution is indeed Gaussian. The KS values range from </w:t>
      </w:r>
      <m:oMath>
        <m:r>
          <w:rPr>
            <w:rFonts w:ascii="Cambria Math" w:hAnsi="Cambria Math"/>
          </w:rPr>
          <m:t>0.61 – 0.71</m:t>
        </m:r>
      </m:oMath>
      <w:r>
        <w:t xml:space="preserve"> for sensitivity and </w:t>
      </w:r>
      <m:oMath>
        <m:r>
          <w:rPr>
            <w:rFonts w:ascii="Cambria Math" w:hAnsi="Cambria Math"/>
          </w:rPr>
          <m:t>0.99 – 1.00</m:t>
        </m:r>
      </m:oMath>
      <w:r>
        <w:t xml:space="preserve"> for specificity with the </w:t>
      </w:r>
      <w:r w:rsidRPr="0067246E">
        <w:rPr>
          <w:i/>
          <w:iCs/>
        </w:rPr>
        <w:t>p</w:t>
      </w:r>
      <w:r>
        <w:t>-values equal to zero. We then evaluate</w:t>
      </w:r>
      <w:r w:rsidR="00EE2476">
        <w:t>d</w:t>
      </w:r>
      <w:r>
        <w:t xml:space="preserve"> the correlation coefficient (Pearson’s R) between pairs of metrics.</w:t>
      </w:r>
    </w:p>
    <w:p w14:paraId="6402C936" w14:textId="5DBDE966" w:rsidR="000F0AD1" w:rsidRDefault="00360CCD" w:rsidP="00503235">
      <w:pPr>
        <w:pStyle w:val="BodyText"/>
        <w:widowControl w:val="0"/>
        <w:ind w:firstLine="230"/>
      </w:pPr>
      <w:r>
        <w:rPr>
          <w:noProof/>
          <w:sz w:val="24"/>
          <w:szCs w:val="24"/>
        </w:rPr>
        <mc:AlternateContent>
          <mc:Choice Requires="wps">
            <w:drawing>
              <wp:anchor distT="137160" distB="137160" distL="137160" distR="137160" simplePos="0" relativeHeight="251687936" behindDoc="0" locked="0" layoutInCell="1" allowOverlap="0" wp14:anchorId="5CEDCA1A" wp14:editId="729FB4ED">
                <wp:simplePos x="0" y="0"/>
                <wp:positionH relativeFrom="margin">
                  <wp:align>center</wp:align>
                </wp:positionH>
                <wp:positionV relativeFrom="margin">
                  <wp:align>bottom</wp:align>
                </wp:positionV>
                <wp:extent cx="4343400" cy="2505456"/>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05456"/>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33A5" w14:textId="728CEF52" w:rsidR="00FF1B3A" w:rsidRPr="006B1D14" w:rsidRDefault="00FF1B3A" w:rsidP="00C44AE8">
                            <w:pPr>
                              <w:pStyle w:val="Caption"/>
                              <w:keepNext/>
                              <w:spacing w:after="120"/>
                              <w:jc w:val="center"/>
                              <w:rPr>
                                <w:sz w:val="18"/>
                                <w:szCs w:val="18"/>
                              </w:rPr>
                            </w:pPr>
                            <w:bookmarkStart w:id="59" w:name="_Ref533719010"/>
                            <w:bookmarkStart w:id="60"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59"/>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61"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61"/>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60"/>
                          </w:tbl>
                          <w:p w14:paraId="61F4F369" w14:textId="77777777" w:rsidR="00FF1B3A" w:rsidRPr="00FA16D5" w:rsidRDefault="00FF1B3A" w:rsidP="00C44AE8">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CA1A" id="Text Box 31" o:spid="_x0000_s1039" type="#_x0000_t202" style="position:absolute;left:0;text-align:left;margin-left:0;margin-top:0;width:342pt;height:197.3pt;z-index:25168793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" o:allowoverlap="f" fillcolor="#e1e1e1" stroked="f">
                <v:fill opacity="0"/>
                <v:textbox inset="0,0,0,0">
                  <w:txbxContent>
                    <w:p w14:paraId="296F33A5" w14:textId="728CEF52" w:rsidR="00FF1B3A" w:rsidRPr="006B1D14" w:rsidRDefault="00FF1B3A" w:rsidP="00C44AE8">
                      <w:pPr>
                        <w:pStyle w:val="Caption"/>
                        <w:keepNext/>
                        <w:spacing w:after="120"/>
                        <w:jc w:val="center"/>
                        <w:rPr>
                          <w:sz w:val="18"/>
                          <w:szCs w:val="18"/>
                        </w:rPr>
                      </w:pPr>
                      <w:bookmarkStart w:id="62" w:name="_Ref533719010"/>
                      <w:bookmarkStart w:id="63"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62"/>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64"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64"/>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63"/>
                    </w:tbl>
                    <w:p w14:paraId="61F4F369" w14:textId="77777777" w:rsidR="00FF1B3A" w:rsidRPr="00FA16D5" w:rsidRDefault="00FF1B3A" w:rsidP="00C44AE8">
                      <w:pPr>
                        <w:rPr>
                          <w:sz w:val="18"/>
                          <w:szCs w:val="18"/>
                        </w:rPr>
                      </w:pPr>
                    </w:p>
                  </w:txbxContent>
                </v:textbox>
                <w10:wrap type="square" anchorx="margin" anchory="margin"/>
              </v:shape>
            </w:pict>
          </mc:Fallback>
        </mc:AlternateContent>
      </w:r>
      <w:r w:rsidR="000F0AD1">
        <w:t xml:space="preserve">Correlations for each pair of scoring metrics are shown in </w:t>
      </w:r>
      <w:r w:rsidR="00720FCA">
        <w:fldChar w:fldCharType="begin"/>
      </w:r>
      <w:r w:rsidR="00720FCA">
        <w:instrText xml:space="preserve"> REF _Ref533719010 \* mergeformat</w:instrText>
      </w:r>
      <w:r w:rsidR="00720FCA">
        <w:fldChar w:fldCharType="separate"/>
      </w:r>
      <w:r w:rsidR="00FF1B3A" w:rsidRPr="00E91D8D">
        <w:t>Table 8</w:t>
      </w:r>
      <w:r w:rsidR="00720FCA">
        <w:fldChar w:fldCharType="end"/>
      </w:r>
      <w:r w:rsidR="000F0AD1">
        <w:t xml:space="preserve"> (for sensitivity) and </w:t>
      </w:r>
      <w:r w:rsidR="00720FCA">
        <w:fldChar w:fldCharType="begin"/>
      </w:r>
      <w:r w:rsidR="00720FCA">
        <w:instrText xml:space="preserve"> REF _Ref533719047  \* MERGEFORMAT </w:instrText>
      </w:r>
      <w:r w:rsidR="00720FCA">
        <w:fldChar w:fldCharType="separate"/>
      </w:r>
      <w:r w:rsidR="00FF1B3A" w:rsidRPr="00E91D8D">
        <w:t>Table 9</w:t>
      </w:r>
      <w:r w:rsidR="00720FCA">
        <w:fldChar w:fldCharType="end"/>
      </w:r>
      <w:r w:rsidR="000F0AD1">
        <w:t xml:space="preserve"> (for specificity). </w:t>
      </w:r>
      <w:r w:rsidR="00503235">
        <w:t xml:space="preserve">It can be seen that the pairwise correlations between OVLP, ATWV and DPALIGN are highest, while </w:t>
      </w:r>
      <w:r w:rsidR="000F0AD1">
        <w:t>the pairs ATWV-EPOCH and DPALIGN-EPOCH</w:t>
      </w:r>
      <w:r w:rsidR="00503235">
        <w:t xml:space="preserve"> </w:t>
      </w:r>
      <w:r w:rsidR="000F0AD1">
        <w:t xml:space="preserve">have </w:t>
      </w:r>
      <w:r w:rsidR="00503235">
        <w:t xml:space="preserve">the lowest </w:t>
      </w:r>
      <w:r w:rsidR="000F0AD1">
        <w:t xml:space="preserve">correlation </w:t>
      </w:r>
      <m:oMath>
        <m:r>
          <w:rPr>
            <w:rFonts w:ascii="Cambria Math" w:hAnsi="Cambria Math"/>
          </w:rPr>
          <m:t>(~0.5</m:t>
        </m:r>
      </m:oMath>
      <w:r w:rsidR="000F0AD1">
        <w:t>)</w:t>
      </w:r>
      <w:r w:rsidR="00503235">
        <w:t xml:space="preserve">. </w:t>
      </w:r>
      <w:r w:rsidR="000F0AD1">
        <w:t>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59EDFB40" w14:textId="4E57E322" w:rsidR="000F0AD1" w:rsidRDefault="000F0AD1" w:rsidP="000F0AD1">
      <w:pPr>
        <w:pStyle w:val="BodyText"/>
      </w:pPr>
      <w:r>
        <w:t>Since OVLP and TAES both score overlapping events independently, we also expect these two methods to be correlated (sensitivity: </w:t>
      </w:r>
      <m:oMath>
        <m:r>
          <w:rPr>
            <w:rFonts w:ascii="Cambria Math" w:hAnsi="Cambria Math"/>
          </w:rPr>
          <m:t>0.78</m:t>
        </m:r>
      </m:oMath>
      <w:r>
        <w:t xml:space="preserve">; specificity: </w:t>
      </w:r>
      <m:oMath>
        <m:r>
          <w:rPr>
            <w:rFonts w:ascii="Cambria Math" w:hAnsi="Cambria Math"/>
          </w:rPr>
          <m:t>0.95</m:t>
        </m:r>
      </m:oMath>
      <w:r>
        <w:t xml:space="preserve">).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w:t>
      </w:r>
      <m:oMath>
        <m:r>
          <w:rPr>
            <w:rFonts w:ascii="Cambria Math" w:hAnsi="Cambria Math"/>
          </w:rPr>
          <m:t>p &lt; 0.001</m:t>
        </m:r>
      </m:oMath>
      <w:r>
        <w:t>.</w:t>
      </w:r>
    </w:p>
    <w:p w14:paraId="0BFCC17E" w14:textId="434C7924" w:rsidR="002264CD" w:rsidRDefault="002264CD" w:rsidP="00E91D8D">
      <w:pPr>
        <w:pStyle w:val="heading2"/>
        <w:spacing w:before="0"/>
        <w:ind w:left="562" w:hanging="562"/>
      </w:pPr>
      <w:r w:rsidRPr="0067246E">
        <w:rPr>
          <w:i/>
          <w:iCs w:val="0"/>
        </w:rPr>
        <w:lastRenderedPageBreak/>
        <w:t>Z</w:t>
      </w:r>
      <w:r>
        <w:t>-test</w:t>
      </w:r>
      <w:r w:rsidR="006C5622">
        <w:t>s</w:t>
      </w:r>
    </w:p>
    <w:p w14:paraId="19CCAFE7" w14:textId="49187C67" w:rsidR="000F0AD1" w:rsidRDefault="000F0AD1" w:rsidP="00E91D8D">
      <w:pPr>
        <w:pStyle w:val="BodyText"/>
        <w:ind w:firstLine="230"/>
      </w:pPr>
      <w:r>
        <w:t xml:space="preserve">To understand the statistical significance of each system, we perform two-tailed </w:t>
      </w:r>
      <m:oMath>
        <m:r>
          <w:rPr>
            <w:rFonts w:ascii="Cambria Math" w:hAnsi="Cambria Math"/>
          </w:rPr>
          <m:t>z</m:t>
        </m:r>
      </m:oMath>
      <w:r w:rsidR="006C5622">
        <w:noBreakHyphen/>
      </w:r>
      <w:r>
        <w:t xml:space="preserve">tests for sensitivity as shown in </w:t>
      </w:r>
      <w:r w:rsidR="00720FCA">
        <w:fldChar w:fldCharType="begin"/>
      </w:r>
      <w:r w:rsidR="00720FCA">
        <w:instrText xml:space="preserve"> REF _Ref533719366  \* MERGEFORMAT </w:instrText>
      </w:r>
      <w:r w:rsidR="00720FCA">
        <w:fldChar w:fldCharType="separate"/>
      </w:r>
      <w:r w:rsidR="00FF1B3A" w:rsidRPr="00E91D8D">
        <w:t>Table 10</w:t>
      </w:r>
      <w:r w:rsidR="00720FCA">
        <w:fldChar w:fldCharType="end"/>
      </w:r>
      <w:r>
        <w:t xml:space="preserve"> and for specificity as shown in </w:t>
      </w:r>
      <w:r w:rsidR="00720FCA">
        <w:fldChar w:fldCharType="begin"/>
      </w:r>
      <w:r w:rsidR="00720FCA">
        <w:instrText xml:space="preserve"> REF _Ref533722318  \* MERGEFORMAT </w:instrText>
      </w:r>
      <w:r w:rsidR="00720FCA">
        <w:fldChar w:fldCharType="separate"/>
      </w:r>
      <w:r w:rsidR="00FF1B3A" w:rsidRPr="00E91D8D">
        <w:t>Table 11</w:t>
      </w:r>
      <w:r w:rsidR="00720FCA">
        <w:fldChar w:fldCharType="end"/>
      </w:r>
      <w:r>
        <w:t xml:space="preserve">. Cells in these tables contain entries that consist of the sensitivity/specificity differences between the systems and a binary classification value (Yes/No) based on extracted </w:t>
      </w:r>
      <w:r w:rsidRPr="0067246E">
        <w:rPr>
          <w:i/>
          <w:iCs/>
        </w:rPr>
        <w:t>p</w:t>
      </w:r>
      <w:r w:rsidR="0067246E">
        <w:noBreakHyphen/>
      </w:r>
      <w:r>
        <w:t xml:space="preserve">values from the </w:t>
      </w:r>
      <m:oMath>
        <m:r>
          <w:rPr>
            <w:rFonts w:ascii="Cambria Math" w:hAnsi="Cambria Math"/>
          </w:rPr>
          <m:t>z</m:t>
        </m:r>
      </m:oMath>
      <w:r>
        <w:t xml:space="preserve">-test with </w:t>
      </w:r>
      <m:oMath>
        <m:r>
          <w:rPr>
            <w:rFonts w:ascii="Cambria Math" w:hAnsi="Cambria Math"/>
          </w:rPr>
          <m:t>95%</m:t>
        </m:r>
      </m:oMath>
      <w:r>
        <w:t xml:space="preserve"> confidence. </w:t>
      </w:r>
      <w:r w:rsidR="0067246E">
        <w:t>(Due to space constraints, the five classification systems are represented using the abbreviations M1 to M5.) T</w:t>
      </w:r>
      <w:r>
        <w:t xml:space="preserve">he data was prepared by scoring systems on individual patients. Prior to performing </w:t>
      </w:r>
      <m:oMath>
        <m:r>
          <w:rPr>
            <w:rFonts w:ascii="Cambria Math" w:hAnsi="Cambria Math"/>
          </w:rPr>
          <m:t>z</m:t>
        </m:r>
      </m:oMath>
      <w:r>
        <w:t xml:space="preserve">-tests, the Gaussianity of each sample was evaluated using a KS test. All the samples were confirmed as normal with </w:t>
      </w:r>
      <m:oMath>
        <m:r>
          <w:rPr>
            <w:rFonts w:ascii="Cambria Math" w:hAnsi="Cambria Math"/>
          </w:rPr>
          <m:t>p &lt; 0.001</m:t>
        </m:r>
      </m:oMath>
      <w:r>
        <w:t xml:space="preserve">. </w:t>
      </w:r>
    </w:p>
    <w:p w14:paraId="5C84E8BD" w14:textId="25C45673" w:rsidR="000F0AD1" w:rsidRDefault="000F0AD1" w:rsidP="0067246E">
      <w:pPr>
        <w:pStyle w:val="BodyText"/>
      </w:pPr>
      <w:r>
        <w:t xml:space="preserve">From </w:t>
      </w:r>
      <w:r w:rsidR="00720FCA">
        <w:fldChar w:fldCharType="begin"/>
      </w:r>
      <w:r w:rsidR="00720FCA">
        <w:instrText xml:space="preserve"> REF _Ref533719366  \* MERGEFORMAT </w:instrText>
      </w:r>
      <w:r w:rsidR="00720FCA">
        <w:fldChar w:fldCharType="separate"/>
      </w:r>
      <w:r w:rsidR="00FF1B3A" w:rsidRPr="00E91D8D">
        <w:t>Table 10</w:t>
      </w:r>
      <w:r w:rsidR="00720FCA">
        <w:fldChar w:fldCharType="end"/>
      </w:r>
      <w:r>
        <w:t xml:space="preserve">, it can be observed that, aside from the EPOCH and TAES scoring metrics, the differences between the CNN-LSTM system and all the other systems are </w:t>
      </w:r>
      <w:r w:rsidR="002F5E45">
        <w:t>statistically</w:t>
      </w:r>
      <w:r>
        <w:t xml:space="preserve"> significant (rejecting the null hypothesis</w:t>
      </w:r>
      <w:r w:rsidR="0067246E">
        <w:t xml:space="preserve"> with </w:t>
      </w:r>
      <m:oMath>
        <m:r>
          <w:rPr>
            <w:rFonts w:ascii="Cambria Math" w:hAnsi="Cambria Math"/>
          </w:rPr>
          <m:t>p &lt; 0.05</m:t>
        </m:r>
      </m:oMath>
      <w:r w:rsidR="0067246E">
        <w:t xml:space="preserve">. </w:t>
      </w:r>
      <w:r>
        <w:t xml:space="preserve">On the other hand, the EPOCH and TAES metrics fail to reject the null hypothesis for CNN-LSTM. According to these metrics, the performance of HMM-SDA is statistically different from the other systems, confirming its poor performance. This can also be observed from EPOCH/TAES results </w:t>
      </w:r>
      <w:r w:rsidR="00D47C4D">
        <w:t xml:space="preserve">shown in </w:t>
      </w:r>
      <w:r w:rsidR="00720FCA">
        <w:fldChar w:fldCharType="begin"/>
      </w:r>
      <w:r w:rsidR="00720FCA">
        <w:instrText xml:space="preserve"> REF _Ref37544690  \* MERGEFORMAT </w:instrText>
      </w:r>
      <w:r w:rsidR="00720FCA">
        <w:fldChar w:fldCharType="separate"/>
      </w:r>
      <w:r w:rsidR="00FF1B3A" w:rsidRPr="00E91D8D">
        <w:t>Table 2</w:t>
      </w:r>
      <w:r w:rsidR="00720FCA">
        <w:fldChar w:fldCharType="end"/>
      </w:r>
      <w:r>
        <w:t>.</w:t>
      </w:r>
    </w:p>
    <w:p w14:paraId="30F49244" w14:textId="28D24EAF" w:rsidR="000F0AD1" w:rsidRDefault="00720FCA" w:rsidP="002264CD">
      <w:pPr>
        <w:pStyle w:val="BodyText"/>
        <w:widowControl w:val="0"/>
        <w:ind w:firstLine="230"/>
      </w:pPr>
      <w:r>
        <w:fldChar w:fldCharType="begin"/>
      </w:r>
      <w:r>
        <w:instrText xml:space="preserve"> REF _Ref53372</w:instrText>
      </w:r>
      <w:r>
        <w:instrText xml:space="preserve">2318  \* MERGEFORMAT </w:instrText>
      </w:r>
      <w:r>
        <w:fldChar w:fldCharType="separate"/>
      </w:r>
      <w:r w:rsidR="00FF1B3A" w:rsidRPr="00E91D8D">
        <w:t>Table 11</w:t>
      </w:r>
      <w:r>
        <w:fldChar w:fldCharType="end"/>
      </w:r>
      <w:r w:rsidR="000F0AD1">
        <w:t xml:space="preserve"> </w:t>
      </w:r>
      <w:r w:rsidR="00D47C4D">
        <w:t xml:space="preserve">shows </w:t>
      </w:r>
      <w:r w:rsidR="000F0AD1">
        <w:t xml:space="preserve">a different trend than </w:t>
      </w:r>
      <w:r>
        <w:fldChar w:fldCharType="begin"/>
      </w:r>
      <w:r>
        <w:instrText xml:space="preserve"> REF _Ref533719366  \* MERGEFORMAT </w:instrText>
      </w:r>
      <w:r>
        <w:fldChar w:fldCharType="separate"/>
      </w:r>
      <w:r w:rsidR="00FF1B3A" w:rsidRPr="00E91D8D">
        <w:t>Table 10</w:t>
      </w:r>
      <w:r>
        <w:fldChar w:fldCharType="end"/>
      </w:r>
      <w:r w:rsidR="000F0AD1">
        <w:t>. The EPOCH metric fails to reject null</w:t>
      </w:r>
      <w:r w:rsidR="00D47C4D">
        <w:t xml:space="preserve"> </w:t>
      </w:r>
      <w:r w:rsidR="000F0AD1">
        <w:t xml:space="preserve">hypothesis for all the systems. Since specificity is calculated from TN and FP values, for an evaluation set </w:t>
      </w:r>
      <m:oMath>
        <m:r>
          <w:rPr>
            <w:rFonts w:ascii="Cambria Math" w:hAnsi="Cambria Math"/>
          </w:rPr>
          <m:t>167</m:t>
        </m:r>
      </m:oMath>
      <w:r w:rsidR="000F0AD1">
        <w:t xml:space="preserve"> hours in duration and an epoch </w:t>
      </w:r>
      <w:r w:rsidR="00385C2A">
        <w:t xml:space="preserve">duration of </w:t>
      </w:r>
      <m:oMath>
        <m:r>
          <w:rPr>
            <w:rFonts w:ascii="Cambria Math" w:hAnsi="Cambria Math"/>
          </w:rPr>
          <m:t>0.25 sec</m:t>
        </m:r>
      </m:oMath>
      <w:r w:rsidR="000F0AD1">
        <w:t>, a few thousand seconds of FPs do not make any significant difference in terms of specificity. This can also be directly observed</w:t>
      </w:r>
      <w:r w:rsidR="00AA3044">
        <w:t xml:space="preserve"> in </w:t>
      </w:r>
      <w:r>
        <w:fldChar w:fldCharType="begin"/>
      </w:r>
      <w:r>
        <w:instrText xml:space="preserve"> REF _Ref37544690  \* MERGEFORMAT </w:instrText>
      </w:r>
      <w:r>
        <w:fldChar w:fldCharType="separate"/>
      </w:r>
      <w:r w:rsidR="00FF1B3A" w:rsidRPr="00E91D8D">
        <w:t>Table 2</w:t>
      </w:r>
      <w:r>
        <w:fldChar w:fldCharType="end"/>
      </w:r>
      <w:r w:rsidR="00AA3044">
        <w:t xml:space="preserve">, </w:t>
      </w:r>
      <w:r w:rsidR="000F0AD1">
        <w:t>where the</w:t>
      </w:r>
      <w:r w:rsidR="00AA3044">
        <w:t xml:space="preserve"> </w:t>
      </w:r>
      <w:r w:rsidR="000F0AD1">
        <w:t xml:space="preserve">specificity of all systems according to the EPOCH metric is always greater than </w:t>
      </w:r>
      <m:oMath>
        <m:r>
          <w:rPr>
            <w:rFonts w:ascii="Cambria Math" w:hAnsi="Cambria Math"/>
          </w:rPr>
          <m:t>90%</m:t>
        </m:r>
      </m:oMath>
      <w:r w:rsidR="000F0AD1">
        <w:t xml:space="preserve">. The huge difference between the duration of background and seizure events is the primary reason for such high specificities. </w:t>
      </w:r>
      <w:r w:rsidR="00AA3044">
        <w:t xml:space="preserve">However, </w:t>
      </w:r>
      <w:r w:rsidR="000F0AD1">
        <w:t xml:space="preserve">the OVLP and TAES metrics completely agree with each other’s </w:t>
      </w:r>
      <m:oMath>
        <m:r>
          <w:rPr>
            <w:rFonts w:ascii="Cambria Math" w:hAnsi="Cambria Math"/>
          </w:rPr>
          <m:t>z</m:t>
        </m:r>
      </m:oMath>
      <w:r w:rsidR="000F0AD1">
        <w:t>-test results for specificity.</w:t>
      </w:r>
    </w:p>
    <w:p w14:paraId="28836C39" w14:textId="0FC6E5AF" w:rsidR="000F0AD1" w:rsidRDefault="008968C0" w:rsidP="008968C0">
      <w:pPr>
        <w:pStyle w:val="heading1"/>
        <w:keepNext w:val="0"/>
        <w:keepLines w:val="0"/>
        <w:widowControl w:val="0"/>
        <w:ind w:left="562" w:hanging="562"/>
      </w:pPr>
      <w:r>
        <w:t>Conclusions</w:t>
      </w:r>
    </w:p>
    <w:p w14:paraId="2784C63B" w14:textId="6BD4FDE3" w:rsidR="000F0AD1" w:rsidRDefault="000F0AD1" w:rsidP="00E21091">
      <w:pPr>
        <w:pStyle w:val="BodyText"/>
        <w:widowControl w:val="0"/>
        <w:ind w:firstLine="230"/>
      </w:pPr>
      <w:r>
        <w:t>Standardization of scoring metrics is an extremely important step for a research community to take in order to make progress on machine learning problems</w:t>
      </w:r>
      <w:r w:rsidR="008968C0">
        <w:t xml:space="preserve">. </w:t>
      </w:r>
      <w:r>
        <w:t xml:space="preserve">There has been a lack of standardization in most bioengineering fields. Popular metrics such as sensitivity and specificity do not completely characterize the problem and neglect the importance that FA rate plays in achieving clinically acceptable solutions. In this </w:t>
      </w:r>
      <w:r w:rsidR="008968C0">
        <w:t>chapter</w:t>
      </w:r>
      <w:r>
        <w:t>,</w:t>
      </w:r>
      <w:r w:rsidR="00D13E74">
        <w:t xml:space="preserve"> </w:t>
      </w:r>
      <w:r>
        <w:t xml:space="preserve">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8968C0">
        <w:t>OVLP but</w:t>
      </w:r>
      <w: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p>
    <w:p w14:paraId="2BB58413" w14:textId="6FDC9BC8" w:rsidR="000F0AD1" w:rsidRDefault="000F0AD1" w:rsidP="000F0AD1">
      <w:pPr>
        <w:pStyle w:val="BodyText"/>
      </w:pPr>
      <w:r>
        <w:lastRenderedPageBreak/>
        <w:t xml:space="preserve">We have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w:t>
      </w:r>
      <w:r w:rsidRPr="000F0AD1">
        <w:t>75%</w:t>
      </w:r>
      <w:r>
        <w:t xml:space="preserve">. As we move more technology into operational </w:t>
      </w:r>
      <w:r w:rsidR="001131AC">
        <w:t>environments,</w:t>
      </w:r>
      <w:r>
        <w:t xml:space="preserve"> we expect to have more to contribute to this research topic.</w:t>
      </w:r>
    </w:p>
    <w:p w14:paraId="55CF2AD4" w14:textId="436F0BE0" w:rsidR="00A27AFB" w:rsidRDefault="00D13E74" w:rsidP="007905B8">
      <w:pPr>
        <w:pStyle w:val="BodyText"/>
      </w:pPr>
      <w:r>
        <w:t xml:space="preserve">Finally, the Python implementation of these metrics is available at the project web site: </w:t>
      </w:r>
      <w:r w:rsidRPr="008968C0">
        <w:rPr>
          <w:i/>
          <w:iCs/>
        </w:rPr>
        <w:t>https://www.isip.piconepress.com/projects/tuh_eeg/downloads/nedc_eval_eeg</w:t>
      </w:r>
      <w:r w:rsidRPr="000F0AD1">
        <w:t>.</w:t>
      </w:r>
      <w:r>
        <w:t xml:space="preserve"> This scoring software described here has been public</w:t>
      </w:r>
      <w:r w:rsidR="007905B8">
        <w:t>ly</w:t>
      </w:r>
      <w:r>
        <w:t xml:space="preserve"> available since late 2018. It has been used for two open source evaluations </w:t>
      </w:r>
      <w:r w:rsidR="00720FCA">
        <w:fldChar w:fldCharType="begin"/>
      </w:r>
      <w:r w:rsidR="00720FCA">
        <w:instrText xml:space="preserve"> REF _Ref37901086 \n </w:instrText>
      </w:r>
      <w:r w:rsidR="00720FCA">
        <w:fldChar w:fldCharType="separate"/>
      </w:r>
      <w:r w:rsidR="00FF1B3A">
        <w:t>[50]</w:t>
      </w:r>
      <w:r w:rsidR="00720FCA">
        <w:fldChar w:fldCharType="end"/>
      </w:r>
      <w:r w:rsidR="00720FCA">
        <w:fldChar w:fldCharType="begin"/>
      </w:r>
      <w:r w:rsidR="00720FCA">
        <w:instrText xml:space="preserve"> REF _Ref37901089 \n </w:instrText>
      </w:r>
      <w:r w:rsidR="00720FCA">
        <w:fldChar w:fldCharType="separate"/>
      </w:r>
      <w:r w:rsidR="00FF1B3A">
        <w:t>[51]</w:t>
      </w:r>
      <w:r w:rsidR="00720FCA">
        <w:fldChar w:fldCharType="end"/>
      </w:r>
      <w:r>
        <w:t>. Readers are encouraged to refer to the software for detailed questions about the specific implementations of these algorithms and the tunable parameters available.</w:t>
      </w:r>
    </w:p>
    <w:p w14:paraId="70E5B7FE" w14:textId="367CE8E7" w:rsidR="008968C0" w:rsidRDefault="008968C0" w:rsidP="008968C0">
      <w:pPr>
        <w:pStyle w:val="heading1"/>
        <w:keepNext w:val="0"/>
        <w:keepLines w:val="0"/>
        <w:widowControl w:val="0"/>
        <w:numPr>
          <w:ilvl w:val="0"/>
          <w:numId w:val="0"/>
        </w:numPr>
        <w:ind w:left="567" w:hanging="567"/>
      </w:pPr>
      <w:r>
        <w:t>Acknowledgements</w:t>
      </w:r>
    </w:p>
    <w:p w14:paraId="166933D7" w14:textId="5100C6F6" w:rsidR="008968C0" w:rsidRPr="008968C0" w:rsidRDefault="008968C0" w:rsidP="008968C0">
      <w:pPr>
        <w:pStyle w:val="BodyText"/>
      </w:pPr>
      <w:r w:rsidRPr="008968C0">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We are also grateful to our colleagues at IBM Research: Stefan Harrer, Jiri Navratil and Subhrajit Roy. Their careful reading of </w:t>
      </w:r>
      <w:r w:rsidR="007905B8">
        <w:t xml:space="preserve">early versions of </w:t>
      </w:r>
      <w:r w:rsidRPr="008968C0">
        <w:t>this manuscript and valuable insights about the work were greatly appreciated.</w:t>
      </w:r>
      <w:r w:rsidR="00FD0776">
        <w:t xml:space="preserve"> </w:t>
      </w:r>
      <w:r w:rsidRPr="008968C0">
        <w:t>We also would like to acknowledge Seyedeh Saeedeh Khoshgoftar Ziyabari for her contributions to the initial portions of this work.</w:t>
      </w:r>
    </w:p>
    <w:p w14:paraId="769C2407" w14:textId="35776791" w:rsidR="008968C0" w:rsidRPr="008968C0" w:rsidRDefault="008968C0" w:rsidP="008968C0">
      <w:pPr>
        <w:pStyle w:val="heading1"/>
        <w:keepNext w:val="0"/>
        <w:keepLines w:val="0"/>
        <w:widowControl w:val="0"/>
        <w:numPr>
          <w:ilvl w:val="0"/>
          <w:numId w:val="0"/>
        </w:numPr>
        <w:ind w:left="567" w:hanging="567"/>
      </w:pPr>
      <w:r w:rsidRPr="008968C0">
        <w:t>Conflict of Interest</w:t>
      </w:r>
      <w:r>
        <w:t xml:space="preserve"> Statement</w:t>
      </w:r>
    </w:p>
    <w:p w14:paraId="04EE1D49" w14:textId="7809221D" w:rsidR="00975918" w:rsidRDefault="008968C0" w:rsidP="006B1D14">
      <w:pPr>
        <w:pStyle w:val="BodyText"/>
      </w:pPr>
      <w:r w:rsidRPr="008968C0">
        <w:t>Author Meysam Golmohammadi is employed by Internet Brands, El Segundo, California, USA. This work was completed at the Neural Engineering Data Consortium at Temple University prior to his employment at Internet Brands. All other authors declare no conflict of interest.</w:t>
      </w:r>
    </w:p>
    <w:p w14:paraId="116E9BD0" w14:textId="7D512B4F" w:rsidR="00EA3585" w:rsidRDefault="00EA3585" w:rsidP="006B1D14">
      <w:pPr>
        <w:pStyle w:val="BodyText"/>
      </w:pPr>
      <w:r>
        <w:rPr>
          <w:noProof/>
          <w:sz w:val="24"/>
          <w:szCs w:val="24"/>
        </w:rPr>
        <w:lastRenderedPageBreak/>
        <mc:AlternateContent>
          <mc:Choice Requires="wps">
            <w:drawing>
              <wp:anchor distT="137160" distB="137160" distL="137160" distR="137160" simplePos="0" relativeHeight="251689984" behindDoc="0" locked="0" layoutInCell="1" allowOverlap="0" wp14:anchorId="5CEB8FBD" wp14:editId="37A85D27">
                <wp:simplePos x="0" y="0"/>
                <wp:positionH relativeFrom="margin">
                  <wp:align>center</wp:align>
                </wp:positionH>
                <wp:positionV relativeFrom="margin">
                  <wp:align>top</wp:align>
                </wp:positionV>
                <wp:extent cx="4343400" cy="6281928"/>
                <wp:effectExtent l="0" t="0" r="0" b="50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8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826" w14:textId="6A7CAE25" w:rsidR="00FF1B3A" w:rsidRPr="006B1D14" w:rsidRDefault="00FF1B3A" w:rsidP="00FA16D5">
                            <w:pPr>
                              <w:pStyle w:val="Caption"/>
                              <w:keepNext/>
                              <w:spacing w:after="120"/>
                              <w:jc w:val="center"/>
                              <w:rPr>
                                <w:sz w:val="18"/>
                                <w:szCs w:val="18"/>
                              </w:rPr>
                            </w:pPr>
                            <w:bookmarkStart w:id="65"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65"/>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E91D8D" w:rsidRDefault="00FF1B3A" w:rsidP="00D359F7">
                                  <w:pPr>
                                    <w:autoSpaceDE/>
                                    <w:spacing w:line="240" w:lineRule="auto"/>
                                    <w:ind w:firstLine="43"/>
                                    <w:jc w:val="center"/>
                                    <w:rPr>
                                      <w:rFonts w:cs="Times New Roman"/>
                                      <w:b/>
                                      <w:bCs/>
                                      <w:color w:val="000000"/>
                                      <w:sz w:val="18"/>
                                      <w:szCs w:val="18"/>
                                    </w:rPr>
                                  </w:pPr>
                                  <w:r w:rsidRPr="00E91D8D">
                                    <w:rPr>
                                      <w:rFonts w:cs="Times New Roman"/>
                                      <w:b/>
                                      <w:bCs/>
                                      <w:color w:val="000000"/>
                                      <w:sz w:val="18"/>
                                      <w:szCs w:val="18"/>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E91D8D" w:rsidRDefault="00FF1B3A" w:rsidP="006C5622">
                                  <w:pPr>
                                    <w:ind w:firstLine="0"/>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bl>
                          <w:p w14:paraId="31B4DD74" w14:textId="77777777" w:rsidR="00FF1B3A" w:rsidRDefault="00FF1B3A" w:rsidP="00FA16D5">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8FBD" id="Text Box 32" o:spid="_x0000_s1040" type="#_x0000_t202" style="position:absolute;left:0;text-align:left;margin-left:0;margin-top:0;width:342pt;height:494.65pt;z-index:2516899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" o:allowoverlap="f" filled="f" stroked="f">
                <v:textbox inset="0,0,0,0">
                  <w:txbxContent>
                    <w:p w14:paraId="53F63826" w14:textId="6A7CAE25" w:rsidR="00FF1B3A" w:rsidRPr="006B1D14" w:rsidRDefault="00FF1B3A" w:rsidP="00FA16D5">
                      <w:pPr>
                        <w:pStyle w:val="Caption"/>
                        <w:keepNext/>
                        <w:spacing w:after="120"/>
                        <w:jc w:val="center"/>
                        <w:rPr>
                          <w:sz w:val="18"/>
                          <w:szCs w:val="18"/>
                        </w:rPr>
                      </w:pPr>
                      <w:bookmarkStart w:id="66"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66"/>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E91D8D" w:rsidRDefault="00FF1B3A" w:rsidP="00D359F7">
                            <w:pPr>
                              <w:autoSpaceDE/>
                              <w:spacing w:line="240" w:lineRule="auto"/>
                              <w:ind w:firstLine="43"/>
                              <w:jc w:val="center"/>
                              <w:rPr>
                                <w:rFonts w:cs="Times New Roman"/>
                                <w:b/>
                                <w:bCs/>
                                <w:color w:val="000000"/>
                                <w:sz w:val="18"/>
                                <w:szCs w:val="18"/>
                              </w:rPr>
                            </w:pPr>
                            <w:r w:rsidRPr="00E91D8D">
                              <w:rPr>
                                <w:rFonts w:cs="Times New Roman"/>
                                <w:b/>
                                <w:bCs/>
                                <w:color w:val="000000"/>
                                <w:sz w:val="18"/>
                                <w:szCs w:val="18"/>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E91D8D" w:rsidRDefault="00FF1B3A" w:rsidP="006C5622">
                            <w:pPr>
                              <w:ind w:firstLine="0"/>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E91D8D" w:rsidRDefault="00FF1B3A" w:rsidP="006C5622">
                            <w:pPr>
                              <w:autoSpaceDE/>
                              <w:ind w:firstLine="0"/>
                              <w:jc w:val="center"/>
                              <w:rPr>
                                <w:rFonts w:cs="Times New Roman"/>
                                <w:b/>
                                <w:color w:val="000000"/>
                                <w:sz w:val="18"/>
                                <w:szCs w:val="18"/>
                              </w:rPr>
                            </w:pPr>
                            <w:r w:rsidRPr="00E91D8D">
                              <w:rPr>
                                <w:rFonts w:cs="Times New Roman"/>
                                <w:b/>
                                <w:bCs/>
                                <w:color w:val="000000"/>
                                <w:sz w:val="18"/>
                                <w:szCs w:val="18"/>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E91D8D" w:rsidRDefault="00FF1B3A" w:rsidP="00D359F7">
                            <w:pPr>
                              <w:autoSpaceDE/>
                              <w:spacing w:line="240" w:lineRule="auto"/>
                              <w:ind w:firstLine="0"/>
                              <w:jc w:val="center"/>
                              <w:rPr>
                                <w:rFonts w:cs="Times New Roman"/>
                                <w:color w:val="000000"/>
                                <w:sz w:val="18"/>
                                <w:szCs w:val="18"/>
                              </w:rPr>
                            </w:pPr>
                            <w:r w:rsidRPr="00E91D8D">
                              <w:rPr>
                                <w:rFonts w:cs="Times New Roman"/>
                                <w:b/>
                                <w:bCs/>
                                <w:color w:val="000000"/>
                                <w:sz w:val="18"/>
                                <w:szCs w:val="18"/>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E91D8D" w:rsidRDefault="00FF1B3A" w:rsidP="00E91D8D">
                            <w:pPr>
                              <w:autoSpaceDE/>
                              <w:spacing w:line="240" w:lineRule="auto"/>
                              <w:ind w:firstLine="0"/>
                              <w:jc w:val="center"/>
                              <w:rPr>
                                <w:rFonts w:cs="Times New Roman"/>
                                <w:b/>
                                <w:color w:val="000000"/>
                                <w:sz w:val="18"/>
                                <w:szCs w:val="18"/>
                              </w:rPr>
                            </w:pPr>
                            <w:r w:rsidRPr="00E91D8D">
                              <w:rPr>
                                <w:rFonts w:cs="Times New Roman"/>
                                <w:b/>
                                <w:color w:val="000000"/>
                                <w:sz w:val="18"/>
                                <w:szCs w:val="18"/>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E91D8D" w:rsidRDefault="00FF1B3A" w:rsidP="006C5622">
                            <w:pPr>
                              <w:autoSpaceDE/>
                              <w:ind w:firstLine="0"/>
                              <w:jc w:val="right"/>
                              <w:rPr>
                                <w:rFonts w:cs="Times New Roman"/>
                                <w:b/>
                                <w:bCs/>
                                <w:color w:val="000000"/>
                                <w:sz w:val="18"/>
                                <w:szCs w:val="18"/>
                              </w:rPr>
                            </w:pPr>
                            <w:r w:rsidRPr="00E91D8D">
                              <w:rPr>
                                <w:rFonts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E91D8D" w:rsidRDefault="00FF1B3A" w:rsidP="006C5622">
                            <w:pPr>
                              <w:autoSpaceDE/>
                              <w:ind w:firstLine="0"/>
                              <w:jc w:val="right"/>
                              <w:rPr>
                                <w:rFonts w:cs="Times New Roman"/>
                                <w:bCs/>
                                <w:color w:val="000000"/>
                                <w:sz w:val="18"/>
                                <w:szCs w:val="18"/>
                              </w:rPr>
                            </w:pPr>
                            <w:r w:rsidRPr="00E91D8D">
                              <w:rPr>
                                <w:rFonts w:cs="Times New Roman"/>
                                <w:bCs/>
                                <w:color w:val="000000"/>
                                <w:sz w:val="18"/>
                                <w:szCs w:val="18"/>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E91D8D" w:rsidRDefault="00FF1B3A" w:rsidP="006C5622">
                            <w:pPr>
                              <w:autoSpaceDE/>
                              <w:ind w:firstLine="0"/>
                              <w:jc w:val="center"/>
                              <w:rPr>
                                <w:rFonts w:cs="Times New Roman"/>
                                <w:b/>
                                <w:bCs/>
                                <w:color w:val="000000"/>
                                <w:sz w:val="18"/>
                                <w:szCs w:val="18"/>
                              </w:rPr>
                            </w:pPr>
                            <w:r w:rsidRPr="00E91D8D">
                              <w:rPr>
                                <w:rFonts w:cs="Times New Roman"/>
                                <w:b/>
                                <w:bCs/>
                                <w:color w:val="000000"/>
                                <w:sz w:val="18"/>
                                <w:szCs w:val="18"/>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E91D8D" w:rsidRDefault="00FF1B3A" w:rsidP="006C5622">
                            <w:pPr>
                              <w:autoSpaceDE/>
                              <w:ind w:firstLine="0"/>
                              <w:jc w:val="right"/>
                              <w:rPr>
                                <w:rFonts w:cs="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E91D8D" w:rsidRDefault="00FF1B3A" w:rsidP="006C5622">
                            <w:pPr>
                              <w:autoSpaceDE/>
                              <w:ind w:firstLine="0"/>
                              <w:jc w:val="right"/>
                              <w:rPr>
                                <w:rFonts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E91D8D" w:rsidRDefault="00FF1B3A" w:rsidP="006C5622">
                            <w:pPr>
                              <w:autoSpaceDE/>
                              <w:ind w:firstLine="0"/>
                              <w:jc w:val="right"/>
                              <w:rPr>
                                <w:rFonts w:cs="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E91D8D" w:rsidRDefault="00FF1B3A" w:rsidP="006C5622">
                            <w:pPr>
                              <w:autoSpaceDE/>
                              <w:ind w:firstLine="0"/>
                              <w:jc w:val="right"/>
                              <w:rPr>
                                <w:rFonts w:cs="Times New Roman"/>
                                <w:color w:val="000000"/>
                                <w:sz w:val="18"/>
                                <w:szCs w:val="18"/>
                              </w:rPr>
                            </w:pPr>
                            <w:r w:rsidRPr="00E91D8D">
                              <w:rPr>
                                <w:rFonts w:cs="Times New Roman"/>
                                <w:color w:val="000000"/>
                                <w:sz w:val="18"/>
                                <w:szCs w:val="18"/>
                              </w:rPr>
                              <w:t>---</w:t>
                            </w:r>
                          </w:p>
                        </w:tc>
                      </w:tr>
                    </w:tbl>
                    <w:p w14:paraId="31B4DD74" w14:textId="77777777" w:rsidR="00FF1B3A" w:rsidRDefault="00FF1B3A" w:rsidP="00FA16D5">
                      <w:pPr>
                        <w:rPr>
                          <w:sz w:val="22"/>
                          <w:szCs w:val="22"/>
                        </w:rPr>
                      </w:pPr>
                    </w:p>
                  </w:txbxContent>
                </v:textbox>
                <w10:wrap type="square" anchorx="margin" anchory="margin"/>
              </v:shape>
            </w:pict>
          </mc:Fallback>
        </mc:AlternateContent>
      </w:r>
    </w:p>
    <w:p w14:paraId="7C3E0F4F" w14:textId="79E94DF4" w:rsidR="00385C2A" w:rsidRDefault="00385C2A" w:rsidP="006B1D14">
      <w:pPr>
        <w:pStyle w:val="BodyText"/>
      </w:pPr>
      <w:r>
        <w:rPr>
          <w:noProof/>
          <w:sz w:val="24"/>
          <w:szCs w:val="24"/>
        </w:rPr>
        <w:lastRenderedPageBreak/>
        <mc:AlternateContent>
          <mc:Choice Requires="wps">
            <w:drawing>
              <wp:anchor distT="137160" distB="137160" distL="137160" distR="137160" simplePos="0" relativeHeight="251692032" behindDoc="0" locked="0" layoutInCell="1" allowOverlap="0" wp14:anchorId="5A3DBE9D" wp14:editId="1E002534">
                <wp:simplePos x="0" y="0"/>
                <wp:positionH relativeFrom="margin">
                  <wp:align>center</wp:align>
                </wp:positionH>
                <wp:positionV relativeFrom="margin">
                  <wp:align>top</wp:align>
                </wp:positionV>
                <wp:extent cx="4343400" cy="6473952"/>
                <wp:effectExtent l="0" t="0" r="0" b="31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D22" w14:textId="1AE22613" w:rsidR="00FF1B3A" w:rsidRPr="006B1D14" w:rsidRDefault="00FF1B3A" w:rsidP="008A37D3">
                            <w:pPr>
                              <w:pStyle w:val="Caption"/>
                              <w:keepNext/>
                              <w:spacing w:after="120"/>
                              <w:jc w:val="center"/>
                              <w:rPr>
                                <w:b/>
                                <w:sz w:val="18"/>
                                <w:szCs w:val="18"/>
                              </w:rPr>
                            </w:pPr>
                            <w:bookmarkStart w:id="67"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67"/>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BE9D" id="Text Box 33" o:spid="_x0000_s1041" type="#_x0000_t202" style="position:absolute;left:0;text-align:left;margin-left:0;margin-top:0;width:342pt;height:509.75pt;z-index:2516920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" o:allowoverlap="f" filled="f" stroked="f">
                <v:textbox inset="0,0,0,0">
                  <w:txbxContent>
                    <w:p w14:paraId="0DC67D22" w14:textId="1AE22613" w:rsidR="00FF1B3A" w:rsidRPr="006B1D14" w:rsidRDefault="00FF1B3A" w:rsidP="008A37D3">
                      <w:pPr>
                        <w:pStyle w:val="Caption"/>
                        <w:keepNext/>
                        <w:spacing w:after="120"/>
                        <w:jc w:val="center"/>
                        <w:rPr>
                          <w:b/>
                          <w:sz w:val="18"/>
                          <w:szCs w:val="18"/>
                        </w:rPr>
                      </w:pPr>
                      <w:bookmarkStart w:id="68"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68"/>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v:textbox>
                <w10:wrap type="square" anchorx="margin" anchory="margin"/>
              </v:shape>
            </w:pict>
          </mc:Fallback>
        </mc:AlternateContent>
      </w:r>
    </w:p>
    <w:p w14:paraId="5072271F" w14:textId="280243A1" w:rsidR="00EC7FD8" w:rsidRDefault="004016AE" w:rsidP="004534C9">
      <w:pPr>
        <w:keepNext/>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lastRenderedPageBreak/>
        <w:t>References</w:t>
      </w:r>
    </w:p>
    <w:p w14:paraId="4DB008EF" w14:textId="2E57F3FF" w:rsidR="00E55F88" w:rsidRPr="00E21091" w:rsidRDefault="00E55F88" w:rsidP="00E21091">
      <w:pPr>
        <w:pStyle w:val="references"/>
        <w:keepLines/>
        <w:tabs>
          <w:tab w:val="clear" w:pos="360"/>
        </w:tabs>
        <w:spacing w:line="240" w:lineRule="auto"/>
        <w:ind w:left="634" w:hanging="634"/>
        <w:jc w:val="left"/>
        <w:rPr>
          <w:i/>
          <w:iCs/>
        </w:rPr>
      </w:pPr>
      <w:bookmarkStart w:id="69" w:name="_Ref37030819"/>
      <w:r w:rsidRPr="00E21091">
        <w:t xml:space="preserve">T. Yamada and E. Meng, </w:t>
      </w:r>
      <w:r w:rsidRPr="00E21091">
        <w:rPr>
          <w:i/>
          <w:iCs/>
        </w:rPr>
        <w:t>Practical guide for clinical neurophysiologic testing: EEG</w:t>
      </w:r>
      <w:r w:rsidRPr="00E21091">
        <w:t>. Philadelphia, Pennsylvania, USA: Lippincott Williams &amp; Wilkins, 2017.</w:t>
      </w:r>
      <w:bookmarkEnd w:id="69"/>
      <w:r w:rsidR="000A22F2" w:rsidRPr="00E21091">
        <w:br/>
      </w:r>
      <w:r w:rsidR="00994812" w:rsidRPr="00E21091">
        <w:rPr>
          <w:i/>
          <w:iCs/>
        </w:rPr>
        <w:t>https://doi.org/10.1111/j.1468-1331.2009.02936.x</w:t>
      </w:r>
      <w:r w:rsidR="00994812" w:rsidRPr="00E21091">
        <w:t>.</w:t>
      </w:r>
    </w:p>
    <w:p w14:paraId="195D4F10" w14:textId="564BC3CF" w:rsidR="00D27BF1" w:rsidRPr="00E21091" w:rsidRDefault="00BA38BB" w:rsidP="00E21091">
      <w:pPr>
        <w:pStyle w:val="references"/>
        <w:keepLines/>
        <w:tabs>
          <w:tab w:val="clear" w:pos="360"/>
        </w:tabs>
        <w:spacing w:line="240" w:lineRule="auto"/>
        <w:ind w:left="634" w:hanging="634"/>
        <w:jc w:val="left"/>
      </w:pPr>
      <w:bookmarkStart w:id="70" w:name="_Ref37032350"/>
      <w:r w:rsidRPr="00E21091">
        <w:t xml:space="preserve">Y. Roy, H. Banville, I. Albuquerque, A. Gramfort, T. H. Falk, and J. Faubert, “Deep learning-based electroencephalography analysis: a systematic review,” </w:t>
      </w:r>
      <w:r w:rsidRPr="00E21091">
        <w:rPr>
          <w:i/>
          <w:iCs/>
        </w:rPr>
        <w:t>J. Neural Eng.</w:t>
      </w:r>
      <w:r w:rsidRPr="00E21091">
        <w:t>, vol. 16, no. 5, p. 37, 2019.</w:t>
      </w:r>
      <w:bookmarkEnd w:id="70"/>
      <w:r w:rsidR="000A22F2" w:rsidRPr="00E21091">
        <w:br/>
      </w:r>
      <w:r w:rsidR="00994812" w:rsidRPr="00E21091">
        <w:rPr>
          <w:i/>
          <w:iCs/>
        </w:rPr>
        <w:t xml:space="preserve">https://doi.org/ </w:t>
      </w:r>
      <w:r w:rsidR="00994812" w:rsidRPr="00E21091">
        <w:rPr>
          <w:rFonts w:ascii="Calibri" w:hAnsi="Calibri" w:cs="Calibri"/>
          <w:i/>
          <w:iCs/>
        </w:rPr>
        <w:t>﻿</w:t>
      </w:r>
      <w:r w:rsidR="00994812" w:rsidRPr="00E21091">
        <w:rPr>
          <w:i/>
          <w:iCs/>
        </w:rPr>
        <w:t>10.1088/1741-2552/ab260c</w:t>
      </w:r>
      <w:r w:rsidR="00994812" w:rsidRPr="00E21091">
        <w:t>.</w:t>
      </w:r>
    </w:p>
    <w:p w14:paraId="731C0189" w14:textId="6497B13E" w:rsidR="00D27BF1" w:rsidRPr="00E21091" w:rsidRDefault="00D27BF1" w:rsidP="00E21091">
      <w:pPr>
        <w:pStyle w:val="references"/>
        <w:keepLines/>
        <w:tabs>
          <w:tab w:val="clear" w:pos="360"/>
        </w:tabs>
        <w:spacing w:line="240" w:lineRule="auto"/>
        <w:ind w:left="634" w:hanging="634"/>
        <w:jc w:val="left"/>
      </w:pPr>
      <w:r w:rsidRPr="00E21091">
        <w:t xml:space="preserve">A. Craik, Y. He, and J. L. Contreras-Vidal, “Deep learning for electroencephalogram (EEG) classification tasks: a review,” </w:t>
      </w:r>
      <w:r w:rsidRPr="00E21091">
        <w:rPr>
          <w:i/>
          <w:iCs/>
        </w:rPr>
        <w:t>J. Neural Eng.</w:t>
      </w:r>
      <w:r w:rsidRPr="00E21091">
        <w:t>, vol. 16, no. 3, p. 031001, 2019.</w:t>
      </w:r>
      <w:r w:rsidR="000A22F2" w:rsidRPr="00E21091">
        <w:br/>
      </w:r>
      <w:r w:rsidR="00994812" w:rsidRPr="00E21091">
        <w:rPr>
          <w:i/>
          <w:iCs/>
        </w:rPr>
        <w:t>https://doi.org/10.1088/1741-2552/ab0ab5</w:t>
      </w:r>
      <w:r w:rsidR="00994812" w:rsidRPr="00E21091">
        <w:t>.</w:t>
      </w:r>
    </w:p>
    <w:p w14:paraId="46C2F2F7" w14:textId="1C78C42F" w:rsidR="0066446C" w:rsidRPr="00E21091" w:rsidRDefault="0066446C" w:rsidP="00E21091">
      <w:pPr>
        <w:pStyle w:val="references"/>
        <w:keepLines/>
        <w:tabs>
          <w:tab w:val="clear" w:pos="360"/>
        </w:tabs>
        <w:spacing w:line="240" w:lineRule="auto"/>
        <w:ind w:left="634" w:hanging="634"/>
        <w:jc w:val="left"/>
      </w:pPr>
      <w:bookmarkStart w:id="71" w:name="_Ref37058699"/>
      <w:r w:rsidRPr="00E21091">
        <w:t xml:space="preserve">S. B. Wilson and R. Emerson, “Spike detection: a review and comparison of algorithms,” </w:t>
      </w:r>
      <w:r w:rsidRPr="00E21091">
        <w:rPr>
          <w:i/>
          <w:iCs/>
        </w:rPr>
        <w:t>Clin. Neurophysiol.</w:t>
      </w:r>
      <w:r w:rsidRPr="00E21091">
        <w:t>, vol. 113, no. 12, pp. 1873–1881, Dec. 2002.</w:t>
      </w:r>
      <w:bookmarkEnd w:id="71"/>
      <w:r w:rsidR="000A22F2" w:rsidRPr="00E21091">
        <w:rPr>
          <w:i/>
          <w:iCs/>
        </w:rPr>
        <w:br/>
      </w:r>
      <w:r w:rsidR="00994812" w:rsidRPr="00E21091">
        <w:rPr>
          <w:i/>
          <w:iCs/>
        </w:rPr>
        <w:t>https://doi.org/10.1016/S1388-2457(02)00297-3</w:t>
      </w:r>
      <w:r w:rsidR="00994812" w:rsidRPr="00E21091">
        <w:t>.</w:t>
      </w:r>
    </w:p>
    <w:p w14:paraId="16B6CDC2" w14:textId="54D6D91B" w:rsidR="00F033F0" w:rsidRPr="00E21091" w:rsidRDefault="00F033F0" w:rsidP="00E21091">
      <w:pPr>
        <w:pStyle w:val="references"/>
        <w:keepLines/>
        <w:tabs>
          <w:tab w:val="clear" w:pos="360"/>
        </w:tabs>
        <w:spacing w:line="240" w:lineRule="auto"/>
        <w:ind w:left="634" w:hanging="634"/>
        <w:jc w:val="left"/>
      </w:pPr>
      <w:bookmarkStart w:id="72" w:name="_Ref37160778"/>
      <w:r w:rsidRPr="00E21091">
        <w:t xml:space="preserve">J. Gotman, D. Flanagan, J. Zhang, and B. Rosenblatt, “Automatic seizure detection in the newborn: Methods and initial evaluation,” </w:t>
      </w:r>
      <w:r w:rsidRPr="00E21091">
        <w:rPr>
          <w:i/>
          <w:iCs/>
        </w:rPr>
        <w:t>Electroencephalogr. Clin. Neurophysiol.</w:t>
      </w:r>
      <w:r w:rsidRPr="00E21091">
        <w:t>, vol. 103, no. 3, pp. 356–362, 1997.</w:t>
      </w:r>
      <w:bookmarkEnd w:id="72"/>
      <w:r w:rsidR="000A22F2" w:rsidRPr="00E21091">
        <w:rPr>
          <w:i/>
          <w:iCs/>
        </w:rPr>
        <w:br/>
      </w:r>
      <w:r w:rsidR="00994812" w:rsidRPr="00E21091">
        <w:rPr>
          <w:i/>
          <w:iCs/>
        </w:rPr>
        <w:t>https://doi.org/10.1016/S0013-4694(97)00003-9</w:t>
      </w:r>
      <w:r w:rsidR="00994812" w:rsidRPr="00E21091">
        <w:t>.</w:t>
      </w:r>
    </w:p>
    <w:p w14:paraId="7E004B63" w14:textId="44724B0E" w:rsidR="00F033F0" w:rsidRPr="00E21091" w:rsidRDefault="00F033F0" w:rsidP="00E21091">
      <w:pPr>
        <w:pStyle w:val="references"/>
        <w:keepLines/>
        <w:tabs>
          <w:tab w:val="clear" w:pos="360"/>
        </w:tabs>
        <w:spacing w:line="240" w:lineRule="auto"/>
        <w:ind w:left="634" w:hanging="634"/>
        <w:jc w:val="left"/>
      </w:pPr>
      <w:bookmarkStart w:id="73" w:name="_Ref37032363"/>
      <w:r w:rsidRPr="00E21091">
        <w:t xml:space="preserve">J. Gotman, “Automatic recognition of epileptic seizures in the EEG,” </w:t>
      </w:r>
      <w:r w:rsidRPr="00E21091">
        <w:rPr>
          <w:i/>
          <w:iCs/>
        </w:rPr>
        <w:t>Electroencephalogr. Clin. Neurophysiol.</w:t>
      </w:r>
      <w:r w:rsidRPr="00E21091">
        <w:t>, vol. 54, no. 5, pp. 530–540, Nov.</w:t>
      </w:r>
      <w:r w:rsidR="0066446C" w:rsidRPr="00E21091">
        <w:t> </w:t>
      </w:r>
      <w:r w:rsidRPr="00E21091">
        <w:t>1982</w:t>
      </w:r>
      <w:bookmarkEnd w:id="73"/>
      <w:r w:rsidR="00994812" w:rsidRPr="00E21091">
        <w:t>.</w:t>
      </w:r>
      <w:r w:rsidR="000A22F2" w:rsidRPr="00E21091">
        <w:br/>
      </w:r>
      <w:r w:rsidR="00994812" w:rsidRPr="00E21091">
        <w:rPr>
          <w:i/>
          <w:iCs/>
        </w:rPr>
        <w:t>http://www.sciencedirect.com/science/article/pii/0013469482900384</w:t>
      </w:r>
      <w:r w:rsidR="00994812" w:rsidRPr="00E21091">
        <w:t>.</w:t>
      </w:r>
    </w:p>
    <w:p w14:paraId="6768C050" w14:textId="1A10146B" w:rsidR="00561FEC" w:rsidRPr="00E21091" w:rsidRDefault="00561FEC" w:rsidP="00E21091">
      <w:pPr>
        <w:pStyle w:val="references"/>
        <w:keepLines/>
        <w:tabs>
          <w:tab w:val="clear" w:pos="360"/>
        </w:tabs>
        <w:spacing w:line="240" w:lineRule="auto"/>
        <w:ind w:left="634" w:hanging="634"/>
        <w:jc w:val="left"/>
      </w:pPr>
      <w:bookmarkStart w:id="74" w:name="_Ref37033858"/>
      <w:r w:rsidRPr="00E21091">
        <w:t>G. D. Clifford et al., “False alarm reduction in critical care,” P</w:t>
      </w:r>
      <w:r w:rsidRPr="00E21091">
        <w:rPr>
          <w:i/>
          <w:iCs/>
        </w:rPr>
        <w:t>hysiol. Meas.</w:t>
      </w:r>
      <w:r w:rsidRPr="00E21091">
        <w:t>, vol. 37, no. 8, pp. E5–E23, 2016.</w:t>
      </w:r>
      <w:bookmarkEnd w:id="74"/>
      <w:r w:rsidR="000A22F2" w:rsidRPr="00E21091">
        <w:rPr>
          <w:i/>
          <w:iCs/>
        </w:rPr>
        <w:br/>
      </w:r>
      <w:r w:rsidR="00994812" w:rsidRPr="00E21091">
        <w:rPr>
          <w:i/>
          <w:iCs/>
        </w:rPr>
        <w:t>https://doi.org/</w:t>
      </w:r>
      <w:r w:rsidR="00994812" w:rsidRPr="00E21091">
        <w:rPr>
          <w:rFonts w:ascii="Calibri" w:hAnsi="Calibri" w:cs="Calibri"/>
          <w:i/>
          <w:iCs/>
        </w:rPr>
        <w:t>﻿</w:t>
      </w:r>
      <w:r w:rsidR="00994812" w:rsidRPr="00E21091">
        <w:rPr>
          <w:i/>
          <w:iCs/>
        </w:rPr>
        <w:t>10.1088/0967-3334/37/8/E5</w:t>
      </w:r>
      <w:r w:rsidR="00994812" w:rsidRPr="00E21091">
        <w:t>.</w:t>
      </w:r>
    </w:p>
    <w:p w14:paraId="6C5912D8" w14:textId="4DAA6D00" w:rsidR="00F033F0" w:rsidRPr="00E21091" w:rsidRDefault="00F033F0" w:rsidP="00E21091">
      <w:pPr>
        <w:pStyle w:val="references"/>
        <w:keepLines/>
        <w:tabs>
          <w:tab w:val="clear" w:pos="360"/>
        </w:tabs>
        <w:spacing w:line="240" w:lineRule="auto"/>
        <w:ind w:left="634" w:hanging="634"/>
        <w:jc w:val="left"/>
      </w:pPr>
      <w:r w:rsidRPr="00E21091">
        <w:t xml:space="preserve">M. Cvach Maria, “Managing hospital alarms,” </w:t>
      </w:r>
      <w:r w:rsidRPr="00E21091">
        <w:rPr>
          <w:i/>
          <w:iCs/>
        </w:rPr>
        <w:t>Nurs. Crit. Care</w:t>
      </w:r>
      <w:r w:rsidRPr="00E21091">
        <w:t>, vol. 9, no. 3, pp. 13–27, 2014.</w:t>
      </w:r>
      <w:r w:rsidR="000A22F2" w:rsidRPr="00E21091">
        <w:rPr>
          <w:i/>
          <w:iCs/>
        </w:rPr>
        <w:br/>
      </w:r>
      <w:r w:rsidR="00994812" w:rsidRPr="00E21091">
        <w:rPr>
          <w:i/>
          <w:iCs/>
        </w:rPr>
        <w:t>https://doi.org/10.1097/01.CCN.0000446255.81392.b0</w:t>
      </w:r>
      <w:r w:rsidR="00994812" w:rsidRPr="00E21091">
        <w:t>.</w:t>
      </w:r>
    </w:p>
    <w:p w14:paraId="3034C84E" w14:textId="47D4FEC8" w:rsidR="00F033F0" w:rsidRPr="00E21091" w:rsidRDefault="00F033F0" w:rsidP="00E21091">
      <w:pPr>
        <w:pStyle w:val="references"/>
        <w:keepLines/>
        <w:tabs>
          <w:tab w:val="clear" w:pos="360"/>
        </w:tabs>
        <w:spacing w:line="240" w:lineRule="auto"/>
        <w:ind w:left="634" w:hanging="634"/>
        <w:jc w:val="left"/>
      </w:pPr>
      <w:bookmarkStart w:id="75" w:name="_Ref37033862"/>
      <w:r w:rsidRPr="00E21091">
        <w:t xml:space="preserve">A. C. Bridi, T. Q. Louro, and R. C. L. Da Silva, “Clinical Alarms in intensive care: implications of alarm fatigue for the safety of patients,” </w:t>
      </w:r>
      <w:r w:rsidRPr="00E21091">
        <w:rPr>
          <w:i/>
          <w:iCs/>
        </w:rPr>
        <w:t>Rev. Lat. Am. Enfermagem</w:t>
      </w:r>
      <w:r w:rsidRPr="00E21091">
        <w:t>, vol. 22, no. 6, p. 1034, 2014.</w:t>
      </w:r>
      <w:bookmarkEnd w:id="75"/>
      <w:r w:rsidR="000A22F2" w:rsidRPr="00E21091">
        <w:rPr>
          <w:i/>
          <w:iCs/>
        </w:rPr>
        <w:br/>
      </w:r>
      <w:r w:rsidR="00994812" w:rsidRPr="00E21091">
        <w:rPr>
          <w:i/>
          <w:iCs/>
        </w:rPr>
        <w:t>https://doi.org</w:t>
      </w:r>
      <w:r w:rsidR="0099302D" w:rsidRPr="00E21091">
        <w:rPr>
          <w:i/>
          <w:iCs/>
        </w:rPr>
        <w:t>/10.1590/0104-1169.3488.2513</w:t>
      </w:r>
      <w:r w:rsidR="0099302D" w:rsidRPr="00E21091">
        <w:t>.</w:t>
      </w:r>
    </w:p>
    <w:p w14:paraId="4D27CBCB" w14:textId="144DA630" w:rsidR="00D206DA" w:rsidRPr="00E21091" w:rsidRDefault="0099302D" w:rsidP="00E21091">
      <w:pPr>
        <w:pStyle w:val="references"/>
        <w:keepLines/>
        <w:tabs>
          <w:tab w:val="clear" w:pos="360"/>
        </w:tabs>
        <w:spacing w:line="240" w:lineRule="auto"/>
        <w:ind w:left="634" w:hanging="634"/>
        <w:jc w:val="left"/>
      </w:pPr>
      <w:bookmarkStart w:id="76" w:name="_Ref37058449"/>
      <w:r w:rsidRPr="00E21091">
        <w:t xml:space="preserve">P. von Goethem and B. Hambling, </w:t>
      </w:r>
      <w:r w:rsidRPr="00E21091">
        <w:rPr>
          <w:i/>
          <w:iCs/>
        </w:rPr>
        <w:t>User Acceptance Testing: A step-by-step guide</w:t>
      </w:r>
      <w:r w:rsidRPr="00E21091">
        <w:t>. Swindon, United Kingdom: BCS Learning &amp; Development Limited, 2013.</w:t>
      </w:r>
      <w:r w:rsidR="000A22F2" w:rsidRPr="00E21091">
        <w:br/>
      </w:r>
      <w:r w:rsidR="00D206DA" w:rsidRPr="00E21091">
        <w:rPr>
          <w:i/>
          <w:iCs/>
        </w:rPr>
        <w:t>https://www.oreilly.com/library/view/user</w:t>
      </w:r>
      <w:r w:rsidR="000A22F2" w:rsidRPr="00E21091">
        <w:rPr>
          <w:i/>
          <w:iCs/>
        </w:rPr>
        <w:noBreakHyphen/>
      </w:r>
      <w:r w:rsidR="00D206DA" w:rsidRPr="00E21091">
        <w:rPr>
          <w:i/>
          <w:iCs/>
        </w:rPr>
        <w:t>acceptance</w:t>
      </w:r>
      <w:r w:rsidR="000A22F2" w:rsidRPr="00E21091">
        <w:rPr>
          <w:i/>
          <w:iCs/>
        </w:rPr>
        <w:noBreakHyphen/>
      </w:r>
      <w:r w:rsidR="00D206DA" w:rsidRPr="00E21091">
        <w:rPr>
          <w:i/>
          <w:iCs/>
        </w:rPr>
        <w:t>testing/9781780171678/</w:t>
      </w:r>
      <w:r w:rsidR="00D206DA" w:rsidRPr="00E21091">
        <w:t>.</w:t>
      </w:r>
    </w:p>
    <w:p w14:paraId="503F3967" w14:textId="60860B04" w:rsidR="00F033F0" w:rsidRPr="00E21091" w:rsidRDefault="00F033F0" w:rsidP="00E21091">
      <w:pPr>
        <w:pStyle w:val="references"/>
        <w:keepLines/>
        <w:tabs>
          <w:tab w:val="clear" w:pos="360"/>
        </w:tabs>
        <w:spacing w:line="240" w:lineRule="auto"/>
        <w:ind w:left="634" w:hanging="634"/>
        <w:jc w:val="left"/>
      </w:pPr>
      <w:bookmarkStart w:id="77" w:name="_Ref37058455"/>
      <w:bookmarkEnd w:id="76"/>
      <w:r w:rsidRPr="00E21091">
        <w:lastRenderedPageBreak/>
        <w:t xml:space="preserve">R. Banchs, A. Bonafonte, and J. Perez, “Acceptance Testing of a Spoken Language Translation System,” in </w:t>
      </w:r>
      <w:r w:rsidR="000A22F2" w:rsidRPr="00E21091">
        <w:rPr>
          <w:i/>
          <w:iCs/>
        </w:rPr>
        <w:t>Proceedings of the International Conference on Language Resources and Evaluation (LREC)</w:t>
      </w:r>
      <w:r w:rsidRPr="00E21091">
        <w:t>, 2006, p. 106.</w:t>
      </w:r>
      <w:bookmarkEnd w:id="77"/>
      <w:r w:rsidR="00994812" w:rsidRPr="00E21091">
        <w:rPr>
          <w:i/>
          <w:iCs/>
        </w:rPr>
        <w:t xml:space="preserve"> </w:t>
      </w:r>
      <w:r w:rsidR="00D206DA" w:rsidRPr="00E21091">
        <w:rPr>
          <w:i/>
          <w:iCs/>
        </w:rPr>
        <w:t>http://www.lrec-conf.org/proceedings/lrec2006/pdf/60_pdf.pdf</w:t>
      </w:r>
      <w:r w:rsidR="00D206DA" w:rsidRPr="00E21091">
        <w:t>.</w:t>
      </w:r>
    </w:p>
    <w:p w14:paraId="69911178" w14:textId="5CC8963D" w:rsidR="00D206DA" w:rsidRPr="00E21091" w:rsidRDefault="00F033F0" w:rsidP="00E21091">
      <w:pPr>
        <w:pStyle w:val="references"/>
        <w:keepLines/>
        <w:tabs>
          <w:tab w:val="clear" w:pos="360"/>
        </w:tabs>
        <w:spacing w:line="240" w:lineRule="auto"/>
        <w:ind w:left="634" w:hanging="634"/>
        <w:jc w:val="left"/>
      </w:pPr>
      <w:bookmarkStart w:id="78" w:name="_Ref37058527"/>
      <w:r w:rsidRPr="00E21091">
        <w:t xml:space="preserve">J. Picone, G. Doddington, and D. Pallett, “Phone-mediated word alignment for speech recognition evaluation,” </w:t>
      </w:r>
      <w:r w:rsidRPr="00E21091">
        <w:rPr>
          <w:i/>
          <w:iCs/>
        </w:rPr>
        <w:t>IEEE Trans. Acoust. Speech Signal Process.</w:t>
      </w:r>
      <w:r w:rsidRPr="00E21091">
        <w:t>, vol. 38, no. 3, pp. 559–562, Mar. 1990.</w:t>
      </w:r>
      <w:bookmarkEnd w:id="78"/>
      <w:r w:rsidR="00994812" w:rsidRPr="00E21091">
        <w:rPr>
          <w:i/>
          <w:iCs/>
        </w:rPr>
        <w:t xml:space="preserve"> </w:t>
      </w:r>
      <w:hyperlink r:id="rId26" w:history="1">
        <w:r w:rsidR="00D206DA" w:rsidRPr="00E21091">
          <w:rPr>
            <w:rStyle w:val="Hyperlink"/>
            <w:i/>
            <w:iCs/>
          </w:rPr>
          <w:t>https://doi.org/10.1109/29.106877</w:t>
        </w:r>
      </w:hyperlink>
      <w:bookmarkStart w:id="79" w:name="_Ref37058531"/>
      <w:r w:rsidR="00D206DA" w:rsidRPr="00E21091">
        <w:t>.</w:t>
      </w:r>
    </w:p>
    <w:p w14:paraId="60BA6FCE" w14:textId="7EFA276D" w:rsidR="00F033F0" w:rsidRPr="00E21091" w:rsidRDefault="00F033F0" w:rsidP="00E21091">
      <w:pPr>
        <w:pStyle w:val="references"/>
        <w:keepLines/>
        <w:tabs>
          <w:tab w:val="clear" w:pos="360"/>
        </w:tabs>
        <w:spacing w:line="240" w:lineRule="auto"/>
        <w:ind w:left="634" w:hanging="634"/>
        <w:jc w:val="left"/>
      </w:pPr>
      <w:bookmarkStart w:id="80" w:name="_Ref41214761"/>
      <w:r w:rsidRPr="00E21091">
        <w:t xml:space="preserve">M. Michel, D. Joy, J. G. Fiscus, V. Manohar, J. Ajot, and B. Barr, “Framework for Detection Evaluation (F4DE),” National Institute of Standards and Technology, 2017. [Online]. </w:t>
      </w:r>
      <w:r w:rsidR="00CF4FBE" w:rsidRPr="00E21091">
        <w:t>[Accessed: 16-May-2017].</w:t>
      </w:r>
      <w:r w:rsidR="00CF4FBE" w:rsidRPr="00E21091">
        <w:br/>
      </w:r>
      <w:r w:rsidRPr="00E21091">
        <w:rPr>
          <w:i/>
          <w:iCs/>
        </w:rPr>
        <w:t>https://github.com/usnistgov/F4DE</w:t>
      </w:r>
      <w:r w:rsidRPr="00E21091">
        <w:t>.</w:t>
      </w:r>
      <w:bookmarkEnd w:id="80"/>
      <w:r w:rsidRPr="00E21091">
        <w:t xml:space="preserve"> </w:t>
      </w:r>
      <w:bookmarkEnd w:id="79"/>
    </w:p>
    <w:p w14:paraId="6B6021A0" w14:textId="2D62CA0B" w:rsidR="00F033F0" w:rsidRPr="00E21091" w:rsidRDefault="00F033F0" w:rsidP="00E21091">
      <w:pPr>
        <w:pStyle w:val="references"/>
        <w:keepLines/>
        <w:tabs>
          <w:tab w:val="clear" w:pos="360"/>
        </w:tabs>
        <w:spacing w:line="240" w:lineRule="auto"/>
        <w:ind w:left="634" w:hanging="634"/>
        <w:jc w:val="left"/>
      </w:pPr>
      <w:bookmarkStart w:id="81" w:name="_Ref37058579"/>
      <w:r w:rsidRPr="00E21091">
        <w:t xml:space="preserve">D. G. Altman and J. M. Bland, “Diagnostic Tests 1: Sensitivity And Specificity,” </w:t>
      </w:r>
      <w:r w:rsidRPr="00E21091">
        <w:rPr>
          <w:i/>
          <w:iCs/>
        </w:rPr>
        <w:t>Br. Med. J.</w:t>
      </w:r>
      <w:r w:rsidRPr="00E21091">
        <w:t>, vol. 308, no. 6943, p. 1552, 1994.</w:t>
      </w:r>
      <w:bookmarkEnd w:id="81"/>
      <w:r w:rsidR="00994812" w:rsidRPr="00E21091">
        <w:rPr>
          <w:i/>
          <w:iCs/>
        </w:rPr>
        <w:t xml:space="preserve"> https://doi.org/</w:t>
      </w:r>
      <w:r w:rsidR="0066504A" w:rsidRPr="00E21091">
        <w:rPr>
          <w:i/>
          <w:iCs/>
        </w:rPr>
        <w:t>10.1136/bmj.308.6943.1552</w:t>
      </w:r>
      <w:r w:rsidR="0066504A" w:rsidRPr="00E21091">
        <w:t>.</w:t>
      </w:r>
    </w:p>
    <w:p w14:paraId="61F6F7A0" w14:textId="0D24D8A4" w:rsidR="00F033F0" w:rsidRPr="00E21091" w:rsidRDefault="00F033F0" w:rsidP="00E21091">
      <w:pPr>
        <w:pStyle w:val="references"/>
        <w:keepLines/>
        <w:tabs>
          <w:tab w:val="clear" w:pos="360"/>
        </w:tabs>
        <w:spacing w:line="240" w:lineRule="auto"/>
        <w:ind w:left="634" w:hanging="634"/>
        <w:jc w:val="left"/>
      </w:pPr>
      <w:bookmarkStart w:id="82" w:name="_Ref37555055"/>
      <w:r w:rsidRPr="00E21091">
        <w:t xml:space="preserve">J. M. Wozencraft and I. M. Jacobs, </w:t>
      </w:r>
      <w:r w:rsidRPr="00E21091">
        <w:rPr>
          <w:i/>
          <w:iCs/>
        </w:rPr>
        <w:t>Principles of Communication Engineering</w:t>
      </w:r>
      <w:r w:rsidRPr="00E21091">
        <w:t>. New York City, New York, USA: Wiley, 1965.</w:t>
      </w:r>
      <w:r w:rsidR="00994812" w:rsidRPr="00E21091">
        <w:rPr>
          <w:i/>
          <w:iCs/>
        </w:rPr>
        <w:t xml:space="preserve"> </w:t>
      </w:r>
      <w:r w:rsidR="0066504A" w:rsidRPr="00E21091">
        <w:rPr>
          <w:i/>
          <w:iCs/>
        </w:rPr>
        <w:t>https://books.google.com/books/about/Principles_of_communication_engineering.html?id=4ORSAAAAMAAJ.</w:t>
      </w:r>
      <w:bookmarkEnd w:id="82"/>
    </w:p>
    <w:p w14:paraId="5A86A2BE" w14:textId="3D49F714" w:rsidR="00F033F0" w:rsidRPr="00E21091" w:rsidRDefault="00F033F0" w:rsidP="00E21091">
      <w:pPr>
        <w:pStyle w:val="references"/>
        <w:keepLines/>
        <w:tabs>
          <w:tab w:val="clear" w:pos="360"/>
        </w:tabs>
        <w:spacing w:line="240" w:lineRule="auto"/>
        <w:ind w:left="634" w:hanging="634"/>
        <w:jc w:val="left"/>
      </w:pPr>
      <w:bookmarkStart w:id="83" w:name="_Ref37058581"/>
      <w:r w:rsidRPr="00E21091">
        <w:t xml:space="preserve">A. Martin, G. Doddington, T. Kamm, M. Ordowski, and M. Przybocki, “The DET curve in assessment of detection task performance,” in </w:t>
      </w:r>
      <w:r w:rsidRPr="00E21091">
        <w:rPr>
          <w:i/>
          <w:iCs/>
        </w:rPr>
        <w:t>Proceedings of the European Conference on Speech Communication and Technology (Eurospeech)</w:t>
      </w:r>
      <w:r w:rsidRPr="00E21091">
        <w:t>, 1997, pp. 1895–1898.</w:t>
      </w:r>
      <w:bookmarkEnd w:id="83"/>
      <w:r w:rsidR="00994812" w:rsidRPr="00E21091">
        <w:rPr>
          <w:i/>
          <w:iCs/>
        </w:rPr>
        <w:t xml:space="preserve"> </w:t>
      </w:r>
      <w:r w:rsidR="00CF4FBE" w:rsidRPr="00E21091">
        <w:rPr>
          <w:i/>
          <w:iCs/>
        </w:rPr>
        <w:br/>
      </w:r>
      <w:r w:rsidR="0066504A" w:rsidRPr="00E21091">
        <w:rPr>
          <w:i/>
          <w:iCs/>
        </w:rPr>
        <w:t>http://www.isca-speech.org/archive/eurospeech_1997/e97_1895.html</w:t>
      </w:r>
      <w:r w:rsidR="0066504A" w:rsidRPr="00E21091">
        <w:t>.</w:t>
      </w:r>
    </w:p>
    <w:p w14:paraId="7A1E4942" w14:textId="374908DA" w:rsidR="00F033F0" w:rsidRPr="00E21091" w:rsidRDefault="00F033F0" w:rsidP="00E21091">
      <w:pPr>
        <w:pStyle w:val="references"/>
        <w:keepLines/>
        <w:tabs>
          <w:tab w:val="clear" w:pos="360"/>
        </w:tabs>
        <w:spacing w:line="240" w:lineRule="auto"/>
        <w:ind w:left="634" w:hanging="634"/>
        <w:jc w:val="left"/>
      </w:pPr>
      <w:bookmarkStart w:id="84" w:name="_Ref37058646"/>
      <w:r w:rsidRPr="00E21091">
        <w:t xml:space="preserve">Y.-Y. Wang, A. Acero, and C. Chelba, “Is word error rate a good indicator for spoken language understanding accuracy,” in </w:t>
      </w:r>
      <w:r w:rsidRPr="00E21091">
        <w:rPr>
          <w:i/>
          <w:iCs/>
        </w:rPr>
        <w:t>Proceedings of the IEEE Workshop on Automatic Speech Recognition and Understanding</w:t>
      </w:r>
      <w:r w:rsidR="00CF4FBE" w:rsidRPr="00E21091">
        <w:rPr>
          <w:i/>
          <w:iCs/>
        </w:rPr>
        <w:t xml:space="preserve"> (ASRU)</w:t>
      </w:r>
      <w:r w:rsidRPr="00E21091">
        <w:t>, 2003, pp. 577–582.</w:t>
      </w:r>
      <w:bookmarkEnd w:id="84"/>
      <w:r w:rsidR="00CF4FBE" w:rsidRPr="00E21091">
        <w:rPr>
          <w:i/>
          <w:iCs/>
        </w:rPr>
        <w:br/>
      </w:r>
      <w:r w:rsidR="00994812" w:rsidRPr="00E21091">
        <w:rPr>
          <w:i/>
          <w:iCs/>
        </w:rPr>
        <w:t>https://doi.org/</w:t>
      </w:r>
      <w:r w:rsidR="000A22F2" w:rsidRPr="00E21091">
        <w:rPr>
          <w:i/>
          <w:iCs/>
        </w:rPr>
        <w:t>10.1109/ASRU.2003.1318504</w:t>
      </w:r>
      <w:r w:rsidR="000A22F2" w:rsidRPr="00E21091">
        <w:t>.</w:t>
      </w:r>
    </w:p>
    <w:p w14:paraId="76ED5AF1" w14:textId="38CB4600" w:rsidR="00F033F0" w:rsidRPr="00E21091" w:rsidRDefault="00F033F0" w:rsidP="00E21091">
      <w:pPr>
        <w:pStyle w:val="references"/>
        <w:keepLines/>
        <w:tabs>
          <w:tab w:val="clear" w:pos="360"/>
        </w:tabs>
        <w:spacing w:line="240" w:lineRule="auto"/>
        <w:ind w:left="634" w:hanging="634"/>
        <w:jc w:val="left"/>
      </w:pPr>
      <w:bookmarkStart w:id="85" w:name="_Ref37058650"/>
      <w:r w:rsidRPr="00E21091">
        <w:t xml:space="preserve">D. Mostefa, O. Hamin, and K. Choukri, “Evaluation of Automatic Speech Recognition and Speech Language Translation within TC-STAR: Results from the first evaluation campaign,” in </w:t>
      </w:r>
      <w:r w:rsidR="000A22F2" w:rsidRPr="00E21091">
        <w:rPr>
          <w:i/>
          <w:iCs/>
        </w:rPr>
        <w:t>Proceedings of the International Conference on Language Resources and Evaluation (LREC)</w:t>
      </w:r>
      <w:r w:rsidRPr="00E21091">
        <w:t>, 2006, pp.</w:t>
      </w:r>
      <w:r w:rsidR="000A22F2" w:rsidRPr="00E21091">
        <w:t> </w:t>
      </w:r>
      <w:r w:rsidRPr="00E21091">
        <w:t>149</w:t>
      </w:r>
      <w:r w:rsidR="000A22F2" w:rsidRPr="00E21091">
        <w:noBreakHyphen/>
      </w:r>
      <w:r w:rsidRPr="00E21091">
        <w:t>154.</w:t>
      </w:r>
      <w:bookmarkEnd w:id="85"/>
      <w:r w:rsidR="000A22F2" w:rsidRPr="00E21091">
        <w:t xml:space="preserve"> </w:t>
      </w:r>
      <w:r w:rsidR="000A22F2" w:rsidRPr="00E21091">
        <w:rPr>
          <w:i/>
          <w:iCs/>
        </w:rPr>
        <w:t>http://citeseerx.ist.psu.edu/viewdoc/summary?doi=10.1.1.323.5822&amp;rank=4</w:t>
      </w:r>
      <w:r w:rsidR="000A22F2" w:rsidRPr="00E21091">
        <w:t>.</w:t>
      </w:r>
    </w:p>
    <w:p w14:paraId="0AC6B408" w14:textId="220523C7" w:rsidR="00F033F0" w:rsidRPr="00E21091" w:rsidRDefault="00F033F0" w:rsidP="00E21091">
      <w:pPr>
        <w:pStyle w:val="references"/>
        <w:keepLines/>
        <w:tabs>
          <w:tab w:val="clear" w:pos="360"/>
        </w:tabs>
        <w:spacing w:line="240" w:lineRule="auto"/>
        <w:ind w:left="634" w:hanging="634"/>
        <w:jc w:val="left"/>
      </w:pPr>
      <w:bookmarkStart w:id="86" w:name="_Ref37058728"/>
      <w:r w:rsidRPr="00E21091">
        <w:t xml:space="preserve">K. M. Kelly et al., “Assessment of a scalp EEG-based automated seizure detection system,” </w:t>
      </w:r>
      <w:r w:rsidRPr="00E21091">
        <w:rPr>
          <w:i/>
          <w:iCs/>
        </w:rPr>
        <w:t>Clin. Neurophysiol.</w:t>
      </w:r>
      <w:r w:rsidRPr="00E21091">
        <w:t>, vol. 121, no. 11, pp. 1832–1843, 2010.</w:t>
      </w:r>
      <w:bookmarkEnd w:id="86"/>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03F560B7" w14:textId="0496001E" w:rsidR="00F033F0" w:rsidRPr="00E21091" w:rsidRDefault="00F033F0" w:rsidP="00E21091">
      <w:pPr>
        <w:pStyle w:val="references"/>
        <w:keepLines/>
        <w:tabs>
          <w:tab w:val="clear" w:pos="360"/>
        </w:tabs>
        <w:spacing w:line="240" w:lineRule="auto"/>
        <w:ind w:left="634" w:hanging="634"/>
        <w:jc w:val="left"/>
      </w:pPr>
      <w:bookmarkStart w:id="87" w:name="_Ref37058753"/>
      <w:r w:rsidRPr="00E21091">
        <w:t xml:space="preserve">S. Baldassano et al., “A novel seizure detection algorithm informed by hidden Markov model event states,” </w:t>
      </w:r>
      <w:r w:rsidRPr="00E21091">
        <w:rPr>
          <w:i/>
          <w:iCs/>
        </w:rPr>
        <w:t>J. Neural Eng.</w:t>
      </w:r>
      <w:r w:rsidRPr="00E21091">
        <w:t>, vol. 13, no. 3, p. 036011, 2016.</w:t>
      </w:r>
      <w:bookmarkEnd w:id="87"/>
      <w:r w:rsidR="00CF4FBE" w:rsidRPr="00E21091">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778BFCBB" w14:textId="44094536" w:rsidR="00F033F0" w:rsidRPr="00E21091" w:rsidRDefault="00F033F0" w:rsidP="00E21091">
      <w:pPr>
        <w:pStyle w:val="references"/>
        <w:keepLines/>
        <w:tabs>
          <w:tab w:val="clear" w:pos="360"/>
        </w:tabs>
        <w:spacing w:line="240" w:lineRule="auto"/>
        <w:ind w:left="634" w:hanging="634"/>
        <w:jc w:val="left"/>
      </w:pPr>
      <w:bookmarkStart w:id="88" w:name="_Ref37058781"/>
      <w:r w:rsidRPr="00E21091">
        <w:lastRenderedPageBreak/>
        <w:t xml:space="preserve">M. Winterhalder, T. Maiwald, H. U. Voss, R. Aschenbrenner-Scheibe, J. Timmer, and A. Schulze-Bonhage, “The seizure prediction characteristic: a general framework to assess and compare seizure prediction methods,” </w:t>
      </w:r>
      <w:r w:rsidRPr="00E21091">
        <w:rPr>
          <w:i/>
          <w:iCs/>
        </w:rPr>
        <w:t>Epilepsy Behav.</w:t>
      </w:r>
      <w:r w:rsidRPr="00E21091">
        <w:t>, vol. 4, no. 3, pp. 318–325, 2003.</w:t>
      </w:r>
      <w:bookmarkEnd w:id="88"/>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10.1016/S1525-5050(03)00105-7</w:t>
      </w:r>
      <w:r w:rsidR="00CF4FBE" w:rsidRPr="00E21091">
        <w:t>.</w:t>
      </w:r>
    </w:p>
    <w:p w14:paraId="20A2F60A" w14:textId="1F4D9812" w:rsidR="00CF4FBE" w:rsidRPr="00E21091" w:rsidRDefault="00CF4FBE" w:rsidP="00E21091">
      <w:pPr>
        <w:pStyle w:val="references"/>
        <w:keepLines/>
        <w:tabs>
          <w:tab w:val="clear" w:pos="360"/>
        </w:tabs>
        <w:spacing w:line="240" w:lineRule="auto"/>
        <w:ind w:left="634" w:hanging="634"/>
        <w:jc w:val="left"/>
      </w:pPr>
      <w:bookmarkStart w:id="89" w:name="_Ref37058847"/>
      <w:bookmarkStart w:id="90" w:name="_Ref37179789"/>
      <w:r w:rsidRPr="00E21091">
        <w:t xml:space="preserve">S. Wegmann, A. Faria, A. Janin, K. Riedhammer, and N. Morgan, “The TAO of ATWV: Probing the mysteries of keyword search performance,” in </w:t>
      </w:r>
      <w:r w:rsidRPr="00E21091">
        <w:rPr>
          <w:i/>
          <w:iCs/>
        </w:rPr>
        <w:t>Proceedings of the IEEE Workshop on Automatic Speech Recognition and Understanding (ASRU)</w:t>
      </w:r>
      <w:r w:rsidRPr="00E21091">
        <w:t>, 2013, pp. 192–197.</w:t>
      </w:r>
    </w:p>
    <w:p w14:paraId="4CADE083" w14:textId="4829723C" w:rsidR="00F9251D" w:rsidRPr="00E21091" w:rsidRDefault="00F9251D" w:rsidP="00E21091">
      <w:pPr>
        <w:pStyle w:val="references"/>
        <w:keepLines/>
        <w:tabs>
          <w:tab w:val="clear" w:pos="360"/>
        </w:tabs>
        <w:spacing w:line="240" w:lineRule="auto"/>
        <w:ind w:left="634" w:hanging="634"/>
        <w:jc w:val="left"/>
      </w:pPr>
      <w:bookmarkStart w:id="91" w:name="_Ref37179880"/>
      <w:bookmarkEnd w:id="89"/>
      <w:bookmarkEnd w:id="90"/>
      <w:r w:rsidRPr="00E21091">
        <w:t xml:space="preserve">J. Fiscus, J. Ajot, J. Garofolo, and G. Doddingtion, “Results of the 2006 Spoken Term Detection Evaluation,” in </w:t>
      </w:r>
      <w:r w:rsidR="00CF4FBE" w:rsidRPr="00E21091">
        <w:rPr>
          <w:i/>
          <w:iCs/>
        </w:rPr>
        <w:t>Proceedings of the ACM Special Interest Gruoup on Information Retrieval (SIGIR) Workshop "Searching Spontaneous Conversational Speech"</w:t>
      </w:r>
      <w:r w:rsidRPr="00E21091">
        <w:t>, 2007, pp. 45–50.</w:t>
      </w:r>
      <w:bookmarkEnd w:id="91"/>
      <w:r w:rsidR="00CF4FBE" w:rsidRPr="00E21091">
        <w:rPr>
          <w:i/>
          <w:iCs/>
        </w:rPr>
        <w:br/>
      </w:r>
      <w:r w:rsidR="00CF4FBE" w:rsidRPr="00E21091">
        <w:rPr>
          <w:rFonts w:ascii="Calibri" w:hAnsi="Calibri" w:cs="Calibri"/>
          <w:i/>
          <w:iCs/>
        </w:rPr>
        <w:t>﻿</w:t>
      </w:r>
      <w:r w:rsidR="00CF4FBE" w:rsidRPr="00E21091">
        <w:rPr>
          <w:i/>
          <w:iCs/>
        </w:rPr>
        <w:t>https://www.nist.gov/publications/results-2006-spoken-term-detection-evaluation</w:t>
      </w:r>
      <w:r w:rsidR="00284840" w:rsidRPr="00E21091">
        <w:t>.</w:t>
      </w:r>
    </w:p>
    <w:p w14:paraId="68B3EC97" w14:textId="6A578F42" w:rsidR="0043638E" w:rsidRPr="00E21091" w:rsidRDefault="0043638E" w:rsidP="00E21091">
      <w:pPr>
        <w:pStyle w:val="references"/>
        <w:keepLines/>
        <w:tabs>
          <w:tab w:val="clear" w:pos="360"/>
        </w:tabs>
        <w:spacing w:line="240" w:lineRule="auto"/>
        <w:ind w:left="634" w:hanging="634"/>
        <w:jc w:val="left"/>
      </w:pPr>
      <w:r w:rsidRPr="00E21091">
        <w:t xml:space="preserve">S. J. Mason and N. E. Graham, “Areas beneath the relative operating characteristics (ROC) and relative operating levels (ROL) curves: Statistical significance and interpretation,” </w:t>
      </w:r>
      <w:r w:rsidRPr="00E21091">
        <w:rPr>
          <w:i/>
          <w:iCs/>
        </w:rPr>
        <w:t>Q. J. R. Meteorol. Soc.</w:t>
      </w:r>
      <w:r w:rsidRPr="00E21091">
        <w:t>, vol. 128, no. 584, pp. 2145–2166, Jul. 2002.</w:t>
      </w:r>
      <w:r w:rsidR="000F1DA7" w:rsidRPr="00E21091">
        <w:rPr>
          <w:i/>
          <w:iCs/>
        </w:rPr>
        <w:br/>
      </w:r>
      <w:r w:rsidR="00994812" w:rsidRPr="00E21091">
        <w:rPr>
          <w:i/>
          <w:iCs/>
        </w:rPr>
        <w:t>https://doi.org/</w:t>
      </w:r>
      <w:r w:rsidR="000F1DA7" w:rsidRPr="00E21091">
        <w:rPr>
          <w:rFonts w:ascii="Calibri" w:hAnsi="Calibri" w:cs="Calibri"/>
          <w:i/>
          <w:iCs/>
        </w:rPr>
        <w:t>﻿</w:t>
      </w:r>
      <w:r w:rsidR="000F1DA7" w:rsidRPr="00E21091">
        <w:rPr>
          <w:i/>
          <w:iCs/>
        </w:rPr>
        <w:t>10.1256/003590002320603584</w:t>
      </w:r>
      <w:r w:rsidR="000F1DA7" w:rsidRPr="00E21091">
        <w:t>.</w:t>
      </w:r>
    </w:p>
    <w:p w14:paraId="02F0BDF4" w14:textId="207C8CE0" w:rsidR="0043638E" w:rsidRPr="00E21091" w:rsidRDefault="0043638E" w:rsidP="00E21091">
      <w:pPr>
        <w:pStyle w:val="references"/>
        <w:keepLines/>
        <w:tabs>
          <w:tab w:val="clear" w:pos="360"/>
        </w:tabs>
        <w:spacing w:line="240" w:lineRule="auto"/>
        <w:ind w:left="634" w:hanging="634"/>
        <w:jc w:val="left"/>
      </w:pPr>
      <w:bookmarkStart w:id="92" w:name="_Ref37179899"/>
      <w:r w:rsidRPr="00E21091">
        <w:t xml:space="preserve">K. Hajian-Tilaki, “Receiver Operating Characteristic (ROC) Curve Analysis for Medical Diagnostic Test Evaluation,” </w:t>
      </w:r>
      <w:r w:rsidRPr="00E21091">
        <w:rPr>
          <w:i/>
          <w:iCs/>
        </w:rPr>
        <w:t>Casp. J. Intern. Med.</w:t>
      </w:r>
      <w:r w:rsidRPr="00E21091">
        <w:t>, vol. 4, no. 2, pp. 627–635, Dec. 2013.</w:t>
      </w:r>
      <w:bookmarkEnd w:id="92"/>
      <w:r w:rsidR="000F1DA7" w:rsidRPr="00E21091">
        <w:rPr>
          <w:i/>
          <w:iCs/>
        </w:rPr>
        <w:br/>
        <w:t>http://www.ncbi.nlm.nih.gov/pmc/articles/PMC3755824/</w:t>
      </w:r>
      <w:r w:rsidR="000F1DA7" w:rsidRPr="00E21091">
        <w:t>.</w:t>
      </w:r>
    </w:p>
    <w:p w14:paraId="71010A89" w14:textId="74DEB91C" w:rsidR="00F033F0" w:rsidRPr="00E21091" w:rsidRDefault="00F033F0" w:rsidP="00E21091">
      <w:pPr>
        <w:pStyle w:val="references"/>
        <w:keepLines/>
        <w:tabs>
          <w:tab w:val="clear" w:pos="360"/>
        </w:tabs>
        <w:spacing w:line="240" w:lineRule="auto"/>
        <w:ind w:left="634" w:hanging="634"/>
        <w:jc w:val="left"/>
      </w:pPr>
      <w:bookmarkStart w:id="93" w:name="_Ref37058822"/>
      <w:r w:rsidRPr="00E21091">
        <w:t>N. Japkowicz and M. Shah, “Evaluating Learning Algorithms: a classification perspective.” Cambridge University Press, New York City, New York, USA, p. 424, 2014.</w:t>
      </w:r>
      <w:bookmarkEnd w:id="93"/>
      <w:r w:rsidR="000F1DA7" w:rsidRPr="00E21091">
        <w:rPr>
          <w:i/>
          <w:iCs/>
        </w:rPr>
        <w:br/>
      </w:r>
      <w:r w:rsidR="00994812" w:rsidRPr="00E21091">
        <w:rPr>
          <w:i/>
          <w:iCs/>
        </w:rPr>
        <w:t>https://doi.org/</w:t>
      </w:r>
      <w:r w:rsidR="000F1DA7" w:rsidRPr="00E21091">
        <w:rPr>
          <w:i/>
          <w:iCs/>
        </w:rPr>
        <w:t>10.1017/CBO9780511921803</w:t>
      </w:r>
      <w:r w:rsidR="000F1DA7" w:rsidRPr="00E21091">
        <w:t>.</w:t>
      </w:r>
    </w:p>
    <w:p w14:paraId="4FFE15BE" w14:textId="0E548A1A" w:rsidR="00F033F0" w:rsidRPr="00E21091" w:rsidRDefault="00F033F0" w:rsidP="00E21091">
      <w:pPr>
        <w:pStyle w:val="references"/>
        <w:keepLines/>
        <w:tabs>
          <w:tab w:val="clear" w:pos="360"/>
        </w:tabs>
        <w:spacing w:line="240" w:lineRule="auto"/>
        <w:ind w:left="634" w:hanging="634"/>
        <w:jc w:val="left"/>
      </w:pPr>
      <w:bookmarkStart w:id="94" w:name="_Ref37113564"/>
      <w:r w:rsidRPr="00E21091">
        <w:t>“Confusion matrix.” [Online]. Available: [Accessed: 31-Oct-2017].</w:t>
      </w:r>
      <w:bookmarkEnd w:id="94"/>
      <w:r w:rsidR="000F1DA7" w:rsidRPr="00E21091">
        <w:br/>
      </w:r>
      <w:r w:rsidR="000F1DA7" w:rsidRPr="00E21091">
        <w:rPr>
          <w:i/>
          <w:iCs/>
        </w:rPr>
        <w:t>https://en.wikipedia.org/wiki/Confusion_matrix</w:t>
      </w:r>
      <w:r w:rsidR="000F1DA7" w:rsidRPr="00E21091">
        <w:t>.</w:t>
      </w:r>
    </w:p>
    <w:p w14:paraId="4DD3D023" w14:textId="6689EE9E" w:rsidR="00AD18B3" w:rsidRPr="00E21091" w:rsidRDefault="00AD18B3" w:rsidP="00E21091">
      <w:pPr>
        <w:pStyle w:val="references"/>
        <w:keepLines/>
        <w:tabs>
          <w:tab w:val="clear" w:pos="360"/>
        </w:tabs>
        <w:spacing w:line="240" w:lineRule="auto"/>
        <w:ind w:left="634" w:hanging="634"/>
        <w:jc w:val="left"/>
      </w:pPr>
      <w:bookmarkStart w:id="95" w:name="_Ref37166924"/>
      <w:r w:rsidRPr="00E21091">
        <w:t xml:space="preserve">D. Chicco and G. Jurman, “The advantages of the Matthews correlation coefficient (MCC) over F1 score and accuracy in binary classification evaluation,” </w:t>
      </w:r>
      <w:r w:rsidRPr="00E21091">
        <w:rPr>
          <w:i/>
          <w:iCs/>
        </w:rPr>
        <w:t>BMC Genomics</w:t>
      </w:r>
      <w:r w:rsidRPr="00E21091">
        <w:t>, vol. 21, no. 1, p. 6, Jan. 2020.</w:t>
      </w:r>
      <w:bookmarkEnd w:id="95"/>
      <w:r w:rsidR="00994812" w:rsidRPr="00E21091">
        <w:rPr>
          <w:i/>
          <w:iCs/>
        </w:rPr>
        <w:t xml:space="preserve"> </w:t>
      </w:r>
      <w:r w:rsidR="000F1DA7" w:rsidRPr="00E21091">
        <w:rPr>
          <w:i/>
          <w:iCs/>
        </w:rPr>
        <w:br/>
        <w:t>https://doi.org/</w:t>
      </w:r>
      <w:r w:rsidR="007C019C" w:rsidRPr="00E21091">
        <w:rPr>
          <w:i/>
          <w:iCs/>
        </w:rPr>
        <w:t>10.1186/s12864-019-6413-7</w:t>
      </w:r>
      <w:r w:rsidR="000F1DA7" w:rsidRPr="00E21091">
        <w:t>.</w:t>
      </w:r>
    </w:p>
    <w:p w14:paraId="5B293FC5" w14:textId="0A2498DF" w:rsidR="00DF077A" w:rsidRPr="00E21091" w:rsidRDefault="00DF077A" w:rsidP="00E21091">
      <w:pPr>
        <w:pStyle w:val="references"/>
        <w:keepLines/>
        <w:tabs>
          <w:tab w:val="clear" w:pos="360"/>
        </w:tabs>
        <w:spacing w:line="240" w:lineRule="auto"/>
        <w:ind w:left="634" w:hanging="634"/>
        <w:jc w:val="left"/>
      </w:pPr>
      <w:bookmarkStart w:id="96" w:name="_Ref37172768"/>
      <w:r w:rsidRPr="00E21091">
        <w:t xml:space="preserve">K. Papineni, S. Roukos, T. Ward, and W.-J. Zhu, “BLEU: A Method for Automatic Evaluation of Machine Translation,” in </w:t>
      </w:r>
      <w:r w:rsidR="007C019C" w:rsidRPr="00E21091">
        <w:rPr>
          <w:i/>
          <w:iCs/>
        </w:rPr>
        <w:t>Proceedings of the 40th Annual Meeting of the Association for Computational Linguistics (ACL)</w:t>
      </w:r>
      <w:r w:rsidRPr="00E21091">
        <w:t>, 2002, pp. 311–318.</w:t>
      </w:r>
      <w:bookmarkEnd w:id="96"/>
      <w:r w:rsidR="00994812" w:rsidRPr="00E21091">
        <w:rPr>
          <w:i/>
          <w:iCs/>
        </w:rPr>
        <w:t xml:space="preserve"> https://doi.org/</w:t>
      </w:r>
      <w:r w:rsidR="007C019C" w:rsidRPr="00E21091">
        <w:rPr>
          <w:i/>
          <w:iCs/>
        </w:rPr>
        <w:t>10.3115/1073083.1073135</w:t>
      </w:r>
      <w:r w:rsidR="007C019C" w:rsidRPr="00E21091">
        <w:t>.</w:t>
      </w:r>
    </w:p>
    <w:p w14:paraId="6194EA1F" w14:textId="208C7DE8" w:rsidR="00F033F0" w:rsidRPr="00E21091" w:rsidRDefault="00F033F0" w:rsidP="00E21091">
      <w:pPr>
        <w:pStyle w:val="references"/>
        <w:keepLines/>
        <w:tabs>
          <w:tab w:val="clear" w:pos="360"/>
        </w:tabs>
        <w:spacing w:line="240" w:lineRule="auto"/>
        <w:ind w:left="634" w:hanging="634"/>
        <w:jc w:val="left"/>
      </w:pPr>
      <w:bookmarkStart w:id="97" w:name="_Ref37114543"/>
      <w:r w:rsidRPr="00E21091">
        <w:t xml:space="preserve">A. Liu, J. S. Hahn, G. P. Heldt, and R. W. Coen, “Detection of neonatal seizures through computerized EEG analysis,” </w:t>
      </w:r>
      <w:r w:rsidRPr="00E21091">
        <w:rPr>
          <w:i/>
          <w:iCs/>
        </w:rPr>
        <w:t>Electroencephalogr. Clin. Neurophysiol.</w:t>
      </w:r>
      <w:r w:rsidRPr="00E21091">
        <w:t>, vol. 82, no. 2, pp. 32–37, 1992.</w:t>
      </w:r>
      <w:bookmarkEnd w:id="97"/>
      <w:r w:rsidR="00770457" w:rsidRPr="00E21091">
        <w:br/>
      </w:r>
      <w:r w:rsidR="00994812" w:rsidRPr="00E21091">
        <w:rPr>
          <w:i/>
          <w:iCs/>
        </w:rPr>
        <w:t>https://doi.org/</w:t>
      </w:r>
      <w:r w:rsidR="00770457" w:rsidRPr="00E21091">
        <w:t xml:space="preserve"> </w:t>
      </w:r>
      <w:r w:rsidR="00770457" w:rsidRPr="00E21091">
        <w:rPr>
          <w:rFonts w:ascii="Calibri" w:hAnsi="Calibri" w:cs="Calibri"/>
          <w:i/>
          <w:iCs/>
        </w:rPr>
        <w:t>﻿</w:t>
      </w:r>
      <w:r w:rsidR="00770457" w:rsidRPr="00E21091">
        <w:rPr>
          <w:i/>
          <w:iCs/>
        </w:rPr>
        <w:t>10.1016/0013-4694(92)90179-L</w:t>
      </w:r>
      <w:r w:rsidR="00770457" w:rsidRPr="00E21091">
        <w:t>.</w:t>
      </w:r>
    </w:p>
    <w:p w14:paraId="28E687C5" w14:textId="579FC238" w:rsidR="00F033F0" w:rsidRPr="00E21091" w:rsidRDefault="00F033F0" w:rsidP="00E21091">
      <w:pPr>
        <w:pStyle w:val="references"/>
        <w:keepLines/>
        <w:tabs>
          <w:tab w:val="clear" w:pos="360"/>
        </w:tabs>
        <w:spacing w:line="240" w:lineRule="auto"/>
        <w:ind w:left="634" w:hanging="634"/>
        <w:jc w:val="left"/>
      </w:pPr>
      <w:bookmarkStart w:id="98" w:name="_Ref37114550"/>
      <w:r w:rsidRPr="00E21091">
        <w:lastRenderedPageBreak/>
        <w:t xml:space="preserve">M. A. Navakatikyan, P. B. Colditz, C. J. Burke, T. E. Inder, J. Richmond, and C. E. Williams, “Seizure detection algorithm for neonates based on wave-sequence analysis,” </w:t>
      </w:r>
      <w:r w:rsidRPr="00E21091">
        <w:rPr>
          <w:i/>
          <w:iCs/>
        </w:rPr>
        <w:t>Clin. Neurophysiol.</w:t>
      </w:r>
      <w:r w:rsidRPr="00E21091">
        <w:t>, vol. 117, no. 6, pp. 1190–1203, Jun. 2006.</w:t>
      </w:r>
      <w:bookmarkEnd w:id="98"/>
      <w:r w:rsidR="008D4CD3" w:rsidRPr="00E21091">
        <w:br/>
      </w:r>
      <w:r w:rsidR="00994812" w:rsidRPr="00E21091">
        <w:rPr>
          <w:i/>
          <w:iCs/>
        </w:rPr>
        <w:t>https://doi.org/</w:t>
      </w:r>
      <w:r w:rsidR="00770457" w:rsidRPr="00E21091">
        <w:rPr>
          <w:i/>
          <w:iCs/>
        </w:rPr>
        <w:t>10.1016/j.clinph.2006.02.016</w:t>
      </w:r>
      <w:r w:rsidR="00770457" w:rsidRPr="00E21091">
        <w:t>.</w:t>
      </w:r>
    </w:p>
    <w:p w14:paraId="2EF3689C" w14:textId="4EAF7D8C" w:rsidR="00F033F0" w:rsidRPr="00E21091" w:rsidRDefault="00F033F0" w:rsidP="00E21091">
      <w:pPr>
        <w:pStyle w:val="references"/>
        <w:keepLines/>
        <w:tabs>
          <w:tab w:val="clear" w:pos="360"/>
        </w:tabs>
        <w:spacing w:line="240" w:lineRule="auto"/>
        <w:ind w:left="634" w:hanging="634"/>
        <w:jc w:val="left"/>
      </w:pPr>
      <w:bookmarkStart w:id="99" w:name="_Ref37114595"/>
      <w:r w:rsidRPr="00E21091">
        <w:t xml:space="preserve">W. Xiong, L. Wu, F. Alleva, J. Droppo, X. Huang, and A. Stolcke, “The Microsoft 2017 Conversational Speech Recognition System,” in </w:t>
      </w:r>
      <w:r w:rsidRPr="00E21091">
        <w:rPr>
          <w:i/>
          <w:iCs/>
        </w:rPr>
        <w:t>Proceedings of the IEEE International Conference on Acoustics, Speech, and Signal Processing (ICASSP)</w:t>
      </w:r>
      <w:r w:rsidRPr="00E21091">
        <w:t>, 2017, pp. 5255–5259.</w:t>
      </w:r>
      <w:bookmarkEnd w:id="99"/>
      <w:r w:rsidR="008D4CD3" w:rsidRPr="00E21091">
        <w:rPr>
          <w:i/>
          <w:iCs/>
        </w:rPr>
        <w:br/>
      </w:r>
      <w:r w:rsidR="00994812" w:rsidRPr="00E21091">
        <w:rPr>
          <w:i/>
          <w:iCs/>
        </w:rPr>
        <w:t>https://doi.org/</w:t>
      </w:r>
      <w:r w:rsidR="008D4CD3" w:rsidRPr="00E21091">
        <w:t xml:space="preserve"> </w:t>
      </w:r>
      <w:r w:rsidR="008D4CD3" w:rsidRPr="00E21091">
        <w:rPr>
          <w:rFonts w:ascii="Calibri" w:hAnsi="Calibri" w:cs="Calibri"/>
          <w:i/>
          <w:iCs/>
        </w:rPr>
        <w:t>﻿</w:t>
      </w:r>
      <w:r w:rsidR="008D4CD3" w:rsidRPr="00E21091">
        <w:rPr>
          <w:i/>
          <w:iCs/>
        </w:rPr>
        <w:t>10.1109/ICASSP.2018.8461870</w:t>
      </w:r>
      <w:r w:rsidR="008D4CD3" w:rsidRPr="00E21091">
        <w:t>.</w:t>
      </w:r>
    </w:p>
    <w:p w14:paraId="31A67BD5" w14:textId="3AB2A79E" w:rsidR="00C25C6B" w:rsidRPr="00E21091" w:rsidRDefault="00C25C6B" w:rsidP="00E21091">
      <w:pPr>
        <w:pStyle w:val="references"/>
        <w:keepLines/>
        <w:tabs>
          <w:tab w:val="clear" w:pos="360"/>
        </w:tabs>
        <w:spacing w:line="240" w:lineRule="auto"/>
        <w:ind w:left="634" w:hanging="634"/>
        <w:jc w:val="left"/>
      </w:pPr>
      <w:bookmarkStart w:id="100" w:name="_Ref37160791"/>
      <w:r w:rsidRPr="00E21091">
        <w:t xml:space="preserve">S. B. Wilson, M. L. Scheuer, C. Plummer, B. Young, and S. Pacia, “Seizure detection: Correlation of human experts,” </w:t>
      </w:r>
      <w:r w:rsidRPr="00E21091">
        <w:rPr>
          <w:i/>
          <w:iCs/>
        </w:rPr>
        <w:t>Clin. Neurophysiol.</w:t>
      </w:r>
      <w:r w:rsidRPr="00E21091">
        <w:t>, vol. 114(11), pp. 2156–2164, 2003.</w:t>
      </w:r>
      <w:bookmarkEnd w:id="100"/>
      <w:r w:rsidR="008D4CD3" w:rsidRPr="00E21091">
        <w:br/>
      </w:r>
      <w:r w:rsidR="00994812" w:rsidRPr="00E21091">
        <w:rPr>
          <w:i/>
          <w:iCs/>
        </w:rPr>
        <w:t>https://doi.org/</w:t>
      </w:r>
      <w:r w:rsidR="008D4CD3" w:rsidRPr="00E21091">
        <w:rPr>
          <w:i/>
          <w:iCs/>
        </w:rPr>
        <w:t>10.1016/S1388-2457(03)00212-8</w:t>
      </w:r>
      <w:r w:rsidR="008D4CD3" w:rsidRPr="00E21091">
        <w:t>.</w:t>
      </w:r>
    </w:p>
    <w:p w14:paraId="4B00EC8E" w14:textId="1D6D1FFF" w:rsidR="00F033F0" w:rsidRPr="00E21091" w:rsidRDefault="00F033F0" w:rsidP="00E21091">
      <w:pPr>
        <w:pStyle w:val="references"/>
        <w:keepLines/>
        <w:tabs>
          <w:tab w:val="clear" w:pos="360"/>
        </w:tabs>
        <w:spacing w:line="240" w:lineRule="auto"/>
        <w:ind w:left="634" w:hanging="634"/>
        <w:jc w:val="left"/>
      </w:pPr>
      <w:bookmarkStart w:id="101" w:name="_Ref37168430"/>
      <w:r w:rsidRPr="00E21091">
        <w:t xml:space="preserve">J. G. Fiscus, “Overview of the NIST Open Keyword Search 2013 Evaluation Workshop,” in </w:t>
      </w:r>
      <w:r w:rsidRPr="00E21091">
        <w:rPr>
          <w:i/>
          <w:iCs/>
        </w:rPr>
        <w:t>IEEE Signal Processing Society - SLTC Newsletter</w:t>
      </w:r>
      <w:r w:rsidRPr="00E21091">
        <w:t>, 2013.</w:t>
      </w:r>
      <w:bookmarkEnd w:id="101"/>
      <w:r w:rsidR="008D4CD3" w:rsidRPr="00E21091">
        <w:rPr>
          <w:i/>
          <w:iCs/>
        </w:rPr>
        <w:br/>
        <w:t>https://www.nist.gov/publications/overview-nist-open-keyword-search-2013-evaluation-worksho</w:t>
      </w:r>
      <w:r w:rsidR="008D4CD3" w:rsidRPr="00E21091">
        <w:t>.</w:t>
      </w:r>
    </w:p>
    <w:p w14:paraId="7D7FF327" w14:textId="16276DF7" w:rsidR="00F033F0" w:rsidRDefault="008D4CD3" w:rsidP="00E21091">
      <w:pPr>
        <w:pStyle w:val="references"/>
        <w:keepLines/>
        <w:tabs>
          <w:tab w:val="clear" w:pos="360"/>
        </w:tabs>
        <w:spacing w:line="240" w:lineRule="auto"/>
        <w:ind w:left="634" w:hanging="634"/>
        <w:jc w:val="left"/>
      </w:pPr>
      <w:bookmarkStart w:id="102" w:name="_Ref37169086"/>
      <w:r w:rsidRPr="00E21091">
        <w:t xml:space="preserve">J. G. Fiscus, </w:t>
      </w:r>
      <w:r w:rsidR="00F033F0" w:rsidRPr="00E21091">
        <w:t>“Speech Recognition Scoring Toolkit,”</w:t>
      </w:r>
      <w:r w:rsidRPr="00E21091">
        <w:t xml:space="preserve"> National Instutue of Standards and Technology, </w:t>
      </w:r>
      <w:r w:rsidR="00F033F0" w:rsidRPr="00E21091">
        <w:t xml:space="preserve"> 2017. [Online]. </w:t>
      </w:r>
      <w:r w:rsidRPr="00E21091">
        <w:t>[Accessed: 17-Oct-2017].</w:t>
      </w:r>
      <w:r w:rsidR="00C47ACB">
        <w:br/>
      </w:r>
      <w:r w:rsidR="009208B1" w:rsidRPr="00E21091">
        <w:rPr>
          <w:rFonts w:ascii="Calibri" w:hAnsi="Calibri" w:cs="Calibri"/>
        </w:rPr>
        <w:t>﻿</w:t>
      </w:r>
      <w:r w:rsidR="009208B1" w:rsidRPr="00E21091">
        <w:rPr>
          <w:i/>
          <w:iCs/>
        </w:rPr>
        <w:t>https://github.com/usnistgov/SCTK</w:t>
      </w:r>
      <w:r w:rsidR="00F033F0" w:rsidRPr="00E21091">
        <w:t>.</w:t>
      </w:r>
      <w:bookmarkEnd w:id="102"/>
    </w:p>
    <w:p w14:paraId="242794EC" w14:textId="0D47E6A9" w:rsidR="00A96354" w:rsidRPr="00A96354" w:rsidRDefault="00A96354" w:rsidP="00E91D8D">
      <w:pPr>
        <w:pStyle w:val="references"/>
        <w:keepLines/>
        <w:tabs>
          <w:tab w:val="clear" w:pos="360"/>
        </w:tabs>
        <w:spacing w:line="240" w:lineRule="auto"/>
        <w:ind w:left="634" w:hanging="634"/>
        <w:jc w:val="left"/>
      </w:pPr>
      <w:bookmarkStart w:id="103" w:name="_Ref52311835"/>
      <w:r w:rsidRPr="00A96354">
        <w:t xml:space="preserve">Dodge, Y. (2008). </w:t>
      </w:r>
      <w:r w:rsidRPr="00E91D8D">
        <w:t>The Concise Encyclopedia of Statistics</w:t>
      </w:r>
      <w:r w:rsidRPr="00A96354">
        <w:t xml:space="preserve"> (2008</w:t>
      </w:r>
      <w:r>
        <w:t xml:space="preserve"> </w:t>
      </w:r>
      <w:r w:rsidRPr="00A96354">
        <w:t>ed.). Springer-Verlag.</w:t>
      </w:r>
      <w:r w:rsidR="00C47ACB">
        <w:br/>
      </w:r>
      <w:r w:rsidRPr="00E91D8D">
        <w:rPr>
          <w:i/>
          <w:iCs/>
        </w:rPr>
        <w:t>https://doi.org/10.1007/978-0-387-32833-1</w:t>
      </w:r>
      <w:r>
        <w:t>.</w:t>
      </w:r>
      <w:bookmarkEnd w:id="103"/>
    </w:p>
    <w:p w14:paraId="30A00AC4" w14:textId="30C68BD6" w:rsidR="00F033F0" w:rsidRPr="00E21091" w:rsidRDefault="00F033F0" w:rsidP="00E21091">
      <w:pPr>
        <w:pStyle w:val="references"/>
        <w:keepLines/>
        <w:tabs>
          <w:tab w:val="clear" w:pos="360"/>
        </w:tabs>
        <w:spacing w:line="240" w:lineRule="auto"/>
        <w:ind w:left="634" w:hanging="634"/>
        <w:jc w:val="left"/>
      </w:pPr>
      <w:bookmarkStart w:id="104" w:name="_Ref37206325"/>
      <w:r w:rsidRPr="00E21091">
        <w:t xml:space="preserve">M. L. McHugh, “Interrater reliability: the kappa statistic,” </w:t>
      </w:r>
      <w:r w:rsidRPr="00E21091">
        <w:rPr>
          <w:i/>
          <w:iCs/>
        </w:rPr>
        <w:t>Biochem. Medica</w:t>
      </w:r>
      <w:r w:rsidRPr="00E21091">
        <w:t>, vol. 22, no. 3, pp. 276–282, Oct. 2012.</w:t>
      </w:r>
      <w:bookmarkEnd w:id="104"/>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10.11613/BM.2012.031</w:t>
      </w:r>
      <w:r w:rsidR="009D0F4D" w:rsidRPr="00E21091">
        <w:t>.</w:t>
      </w:r>
    </w:p>
    <w:p w14:paraId="06C9D4C1" w14:textId="2E545C03" w:rsidR="00F033F0" w:rsidRPr="00E21091" w:rsidRDefault="00F033F0" w:rsidP="00E21091">
      <w:pPr>
        <w:pStyle w:val="references"/>
        <w:keepLines/>
        <w:tabs>
          <w:tab w:val="clear" w:pos="360"/>
        </w:tabs>
        <w:spacing w:line="240" w:lineRule="auto"/>
        <w:ind w:left="634" w:hanging="634"/>
        <w:jc w:val="left"/>
      </w:pPr>
      <w:bookmarkStart w:id="105" w:name="_Ref37206556"/>
      <w:r w:rsidRPr="00E21091">
        <w:t xml:space="preserve">J. J. Halford et al., “Inter-Rater Agreement on Identification of Electrographic Seizures and Periodic Discharges in ICU EEG Recordings.,” </w:t>
      </w:r>
      <w:r w:rsidRPr="00E21091">
        <w:rPr>
          <w:i/>
          <w:iCs/>
        </w:rPr>
        <w:t>Clin. Neurophysiol.</w:t>
      </w:r>
      <w:r w:rsidRPr="00E21091">
        <w:t>, vol. 126, no. 9, pp. 1661–1669, 2015.</w:t>
      </w:r>
      <w:bookmarkEnd w:id="105"/>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10.1016/j.clinph.2014.11.008</w:t>
      </w:r>
      <w:r w:rsidR="009D0F4D" w:rsidRPr="00E21091">
        <w:t>.</w:t>
      </w:r>
    </w:p>
    <w:p w14:paraId="2622E8B2" w14:textId="6C6E1CB7" w:rsidR="00F033F0" w:rsidRPr="00E21091" w:rsidRDefault="00F033F0" w:rsidP="00E21091">
      <w:pPr>
        <w:pStyle w:val="references"/>
        <w:keepLines/>
        <w:tabs>
          <w:tab w:val="clear" w:pos="360"/>
        </w:tabs>
        <w:spacing w:line="240" w:lineRule="auto"/>
        <w:ind w:left="634" w:hanging="634"/>
        <w:jc w:val="left"/>
      </w:pPr>
      <w:bookmarkStart w:id="106" w:name="_Ref37207524"/>
      <w:r w:rsidRPr="00E21091">
        <w:t xml:space="preserve">V. Shah et al., “The Temple University Hospital Seizure Detection Corpus,” </w:t>
      </w:r>
      <w:r w:rsidRPr="00E21091">
        <w:rPr>
          <w:i/>
          <w:iCs/>
        </w:rPr>
        <w:t>Front. Neuroinform.</w:t>
      </w:r>
      <w:r w:rsidRPr="00E21091">
        <w:t>, vol. 12, pp. 1–6, 2018.</w:t>
      </w:r>
      <w:bookmarkEnd w:id="106"/>
      <w:r w:rsidR="009D0F4D"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10.3389/fninf.2018.00083</w:t>
      </w:r>
      <w:r w:rsidR="00F333EE" w:rsidRPr="00E21091">
        <w:t>.</w:t>
      </w:r>
    </w:p>
    <w:p w14:paraId="73825E90" w14:textId="79BE1482" w:rsidR="00DB4DC5" w:rsidRPr="00E21091" w:rsidRDefault="006E13E0" w:rsidP="00E21091">
      <w:pPr>
        <w:pStyle w:val="references"/>
        <w:keepLines/>
        <w:tabs>
          <w:tab w:val="clear" w:pos="360"/>
        </w:tabs>
        <w:spacing w:line="240" w:lineRule="auto"/>
        <w:ind w:left="634" w:hanging="634"/>
        <w:jc w:val="left"/>
      </w:pPr>
      <w:bookmarkStart w:id="107" w:name="_Ref37547757"/>
      <w:r w:rsidRPr="00E21091">
        <w:t xml:space="preserve">I. Obeid and J. Picone, “The Temple University Hospital EEG Data Corpus,” in </w:t>
      </w:r>
      <w:r w:rsidRPr="00E21091">
        <w:rPr>
          <w:i/>
          <w:iCs/>
        </w:rPr>
        <w:t>Augmentation of Brain Function: Facts, Fiction and Controversy</w:t>
      </w:r>
      <w:r w:rsidRPr="00E21091">
        <w:t>. Volume I: Brain-Machine Interfaces, 1st ed., vol. 10, M. A. Lebedev, Ed. Lausanne, Switzerland: Frontiers Media S.A., 2016, pp. 394–398.</w:t>
      </w:r>
      <w:bookmarkEnd w:id="107"/>
      <w:r w:rsidR="00F333EE"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10.3389/fnins.2016.00196</w:t>
      </w:r>
      <w:r w:rsidR="00F333EE" w:rsidRPr="00E21091">
        <w:t>.</w:t>
      </w:r>
    </w:p>
    <w:p w14:paraId="71C38023" w14:textId="7A98017C" w:rsidR="00DB4DC5" w:rsidRPr="00E21091" w:rsidRDefault="00CA3D06" w:rsidP="00E21091">
      <w:pPr>
        <w:pStyle w:val="references"/>
        <w:keepLines/>
        <w:tabs>
          <w:tab w:val="clear" w:pos="360"/>
        </w:tabs>
        <w:spacing w:line="240" w:lineRule="auto"/>
        <w:ind w:left="634" w:hanging="634"/>
        <w:jc w:val="left"/>
      </w:pPr>
      <w:bookmarkStart w:id="108" w:name="_Ref37284439"/>
      <w:r w:rsidRPr="00E21091">
        <w:lastRenderedPageBreak/>
        <w:t>D. Ochal, S. Rahman, S. Ferrell, T. Elseify, I. Obeid, and J. Picone, “The Temple University Hospital EEG Corpus: Annotation Guidelines,” Philadelphia, Pennsylvania, USA, 2020.</w:t>
      </w:r>
      <w:bookmarkEnd w:id="108"/>
      <w:r w:rsidR="00274CDD" w:rsidRPr="00E21091">
        <w:rPr>
          <w:i/>
          <w:iCs/>
        </w:rPr>
        <w:br/>
        <w:t>https://www.isip.piconepress.com/publications/reports/2020/tuh_eeg/annotations/</w:t>
      </w:r>
      <w:r w:rsidR="00274CDD" w:rsidRPr="00E21091">
        <w:t>.</w:t>
      </w:r>
    </w:p>
    <w:p w14:paraId="64808811" w14:textId="421C9E6F" w:rsidR="004F7E86" w:rsidRPr="00E21091" w:rsidRDefault="004F7E86" w:rsidP="00E21091">
      <w:pPr>
        <w:pStyle w:val="references"/>
        <w:keepLines/>
        <w:tabs>
          <w:tab w:val="clear" w:pos="360"/>
        </w:tabs>
        <w:spacing w:line="240" w:lineRule="auto"/>
        <w:ind w:left="634" w:hanging="634"/>
        <w:jc w:val="left"/>
      </w:pPr>
      <w:bookmarkStart w:id="109" w:name="_Ref37284412"/>
      <w:r w:rsidRPr="00E21091">
        <w:t xml:space="preserve">R. Kemp, “European Data Format,” Department of Neurology, Leiden University Medical Centre, The Netherlands, 2013. [Online]. </w:t>
      </w:r>
      <w:r w:rsidR="00274CDD" w:rsidRPr="00E21091">
        <w:t xml:space="preserve">[Accessed: </w:t>
      </w:r>
      <w:r w:rsidR="00014ADC" w:rsidRPr="00E21091">
        <w:t>06-Jan-</w:t>
      </w:r>
      <w:r w:rsidR="00274CDD" w:rsidRPr="00E21091">
        <w:t>2013].</w:t>
      </w:r>
      <w:r w:rsidR="00274CDD" w:rsidRPr="00E21091">
        <w:br/>
      </w:r>
      <w:r w:rsidRPr="00E21091">
        <w:rPr>
          <w:i/>
          <w:iCs/>
        </w:rPr>
        <w:t>http://www.edfplus.info</w:t>
      </w:r>
      <w:r w:rsidRPr="00E21091">
        <w:t>.</w:t>
      </w:r>
      <w:bookmarkEnd w:id="109"/>
    </w:p>
    <w:p w14:paraId="6EFDD2A4" w14:textId="60AC29CF" w:rsidR="00014ADC" w:rsidRPr="00E21091" w:rsidRDefault="00014ADC" w:rsidP="00E21091">
      <w:pPr>
        <w:pStyle w:val="references"/>
        <w:keepLines/>
        <w:tabs>
          <w:tab w:val="clear" w:pos="360"/>
        </w:tabs>
        <w:spacing w:line="240" w:lineRule="auto"/>
        <w:ind w:left="634" w:hanging="634"/>
        <w:jc w:val="left"/>
      </w:pPr>
      <w:bookmarkStart w:id="110" w:name="_Ref37284719"/>
      <w:r w:rsidRPr="00E21091">
        <w:t xml:space="preserve">A. Harati, M. Golmohammadi, S. Lopez, I. Obeid, and J. Picone, “Improved EEG Event Classification Using Differential Energy,” in </w:t>
      </w:r>
      <w:r w:rsidRPr="00E21091">
        <w:rPr>
          <w:i/>
          <w:iCs/>
        </w:rPr>
        <w:t>Proceedings of the IEEE Signal Processing in Medicine and Biology Symposium</w:t>
      </w:r>
      <w:r w:rsidRPr="00E21091">
        <w:t>, 2015, pp. 1–4.</w:t>
      </w:r>
      <w:r w:rsidRPr="00E21091">
        <w:br/>
      </w:r>
      <w:r w:rsidRPr="00E21091">
        <w:rPr>
          <w:i/>
          <w:iCs/>
        </w:rPr>
        <w:t>https://doi.org/</w:t>
      </w:r>
      <w:r w:rsidRPr="00E21091">
        <w:rPr>
          <w:rFonts w:ascii="Calibri" w:hAnsi="Calibri" w:cs="Calibri"/>
          <w:i/>
          <w:iCs/>
        </w:rPr>
        <w:t>﻿</w:t>
      </w:r>
      <w:r w:rsidRPr="00E21091">
        <w:rPr>
          <w:i/>
          <w:iCs/>
        </w:rPr>
        <w:t>10.1109/SPMB.2015.7405421</w:t>
      </w:r>
      <w:r w:rsidRPr="00E21091">
        <w:t>.</w:t>
      </w:r>
    </w:p>
    <w:p w14:paraId="58936B75" w14:textId="381B953E" w:rsidR="00014ADC" w:rsidRPr="00E21091" w:rsidRDefault="00F033F0" w:rsidP="00E21091">
      <w:pPr>
        <w:pStyle w:val="references"/>
        <w:keepLines/>
        <w:tabs>
          <w:tab w:val="clear" w:pos="360"/>
        </w:tabs>
        <w:spacing w:line="240" w:lineRule="auto"/>
        <w:ind w:left="634" w:hanging="634"/>
        <w:jc w:val="left"/>
      </w:pPr>
      <w:bookmarkStart w:id="111" w:name="_Ref37285799"/>
      <w:bookmarkEnd w:id="110"/>
      <w:r w:rsidRPr="00E21091">
        <w:t>M. Golmohammadi, A.</w:t>
      </w:r>
      <w:r w:rsidR="00014ADC" w:rsidRPr="00E21091">
        <w:t xml:space="preserve"> </w:t>
      </w:r>
      <w:r w:rsidRPr="00E21091">
        <w:t xml:space="preserve">Harati, S. de Diego, I. Obeid, and J. Picone, “Automatic Analysis of EEGs Using Big Data and Hybrid Deep Learning Architectures,” </w:t>
      </w:r>
      <w:r w:rsidRPr="00E21091">
        <w:rPr>
          <w:i/>
          <w:iCs/>
        </w:rPr>
        <w:t>Front. Hum. Neurosci.</w:t>
      </w:r>
      <w:r w:rsidRPr="00E21091">
        <w:t>, vol. 13, p. 76, 2019.</w:t>
      </w:r>
      <w:bookmarkEnd w:id="111"/>
      <w:r w:rsidR="00014ADC" w:rsidRPr="00E21091">
        <w:rPr>
          <w:i/>
          <w:iCs/>
        </w:rPr>
        <w:br/>
      </w:r>
      <w:r w:rsidR="00994812" w:rsidRPr="00E21091">
        <w:rPr>
          <w:i/>
          <w:iCs/>
        </w:rPr>
        <w:t>https://doi.org/</w:t>
      </w:r>
      <w:bookmarkStart w:id="112" w:name="_Ref37286090"/>
      <w:r w:rsidR="00014ADC" w:rsidRPr="00E21091">
        <w:rPr>
          <w:i/>
          <w:iCs/>
        </w:rPr>
        <w:t xml:space="preserve"> </w:t>
      </w:r>
      <w:r w:rsidR="00014ADC" w:rsidRPr="00E21091">
        <w:rPr>
          <w:rFonts w:ascii="Calibri" w:hAnsi="Calibri" w:cs="Calibri"/>
          <w:i/>
          <w:iCs/>
        </w:rPr>
        <w:t>﻿</w:t>
      </w:r>
      <w:r w:rsidR="00014ADC" w:rsidRPr="00E21091">
        <w:rPr>
          <w:i/>
          <w:iCs/>
        </w:rPr>
        <w:t>10.3389/fnhum.2019.00076</w:t>
      </w:r>
      <w:r w:rsidR="00014ADC" w:rsidRPr="00E21091">
        <w:t>.</w:t>
      </w:r>
    </w:p>
    <w:p w14:paraId="245AE4AF" w14:textId="1B7FAD87" w:rsidR="00F033F0" w:rsidRPr="00E21091" w:rsidRDefault="00F033F0" w:rsidP="00E21091">
      <w:pPr>
        <w:pStyle w:val="references"/>
        <w:keepLines/>
        <w:tabs>
          <w:tab w:val="clear" w:pos="360"/>
        </w:tabs>
        <w:spacing w:line="240" w:lineRule="auto"/>
        <w:ind w:left="634" w:hanging="634"/>
        <w:jc w:val="left"/>
      </w:pPr>
      <w:r w:rsidRPr="00E21091">
        <w:t xml:space="preserve">M. Golmohammadi, S. Ziyabari, V. Shah, I. Obeid, and J. Picone, “Deep Architectures for Spatio-Temporal Modeling: Automated Seizure Detection in Scalp EEGs,” in </w:t>
      </w:r>
      <w:r w:rsidRPr="00E21091">
        <w:rPr>
          <w:i/>
          <w:iCs/>
        </w:rPr>
        <w:t>Proceedings of the IEEE International Conference on Machine Learning and Applications (ICMLA)</w:t>
      </w:r>
      <w:r w:rsidRPr="00E21091">
        <w:t>, 2018, pp. 745–750.</w:t>
      </w:r>
      <w:bookmarkEnd w:id="112"/>
      <w:r w:rsidR="002C6813" w:rsidRPr="00E21091">
        <w:br/>
      </w:r>
      <w:r w:rsidR="00994812" w:rsidRPr="00E21091">
        <w:rPr>
          <w:i/>
          <w:iCs/>
        </w:rPr>
        <w:t>https://doi.org/</w:t>
      </w:r>
      <w:r w:rsidR="002C6813" w:rsidRPr="00E21091">
        <w:rPr>
          <w:i/>
          <w:iCs/>
        </w:rPr>
        <w:t>10.1109/ICMLA.2018.00118</w:t>
      </w:r>
      <w:r w:rsidR="002C6813" w:rsidRPr="00E21091">
        <w:t>.</w:t>
      </w:r>
    </w:p>
    <w:p w14:paraId="553EE6EA" w14:textId="39CE14A8" w:rsidR="0042433B" w:rsidRPr="00E21091" w:rsidRDefault="0042433B" w:rsidP="00E21091">
      <w:pPr>
        <w:pStyle w:val="references"/>
        <w:keepLines/>
        <w:tabs>
          <w:tab w:val="clear" w:pos="360"/>
        </w:tabs>
        <w:spacing w:line="240" w:lineRule="auto"/>
        <w:ind w:left="634" w:hanging="634"/>
        <w:jc w:val="left"/>
      </w:pPr>
      <w:bookmarkStart w:id="113" w:name="_Ref37286101"/>
      <w:r w:rsidRPr="00E21091">
        <w:t xml:space="preserve">M. Golmohammadi, V. Shah, I. Obeid, and J. Picone, “Deep Learning Approaches for Automatic Seizure Detection from Scalp Electroencephalograms,” in </w:t>
      </w:r>
      <w:r w:rsidRPr="00E21091">
        <w:rPr>
          <w:i/>
          <w:iCs/>
        </w:rPr>
        <w:t>Signal Processing in Medicine and Biology: Emerging Trends in Research and Applications</w:t>
      </w:r>
      <w:r w:rsidRPr="00E21091">
        <w:t>, 1st ed., I. Obeid, I. Selesnick, and J. Picone, Eds. New York, New York, USA: Springer, 2020, pp. 233–274.</w:t>
      </w:r>
      <w:bookmarkEnd w:id="113"/>
      <w:r w:rsidR="00994812" w:rsidRPr="00E21091">
        <w:rPr>
          <w:i/>
          <w:iCs/>
        </w:rPr>
        <w:t xml:space="preserve"> https://doi.org/</w:t>
      </w:r>
      <w:r w:rsidR="002C6813" w:rsidRPr="00E21091">
        <w:rPr>
          <w:i/>
          <w:iCs/>
        </w:rPr>
        <w:t>10.1007/978-3-030-36844-9</w:t>
      </w:r>
      <w:r w:rsidR="002C6813" w:rsidRPr="00E21091">
        <w:t>.</w:t>
      </w:r>
    </w:p>
    <w:p w14:paraId="4F4C9691" w14:textId="231E69E5" w:rsidR="007B7B69" w:rsidRPr="00E21091" w:rsidRDefault="007B7B69" w:rsidP="00E21091">
      <w:pPr>
        <w:pStyle w:val="references"/>
        <w:keepLines/>
        <w:tabs>
          <w:tab w:val="clear" w:pos="360"/>
        </w:tabs>
        <w:spacing w:line="240" w:lineRule="auto"/>
        <w:ind w:left="634" w:hanging="634"/>
        <w:jc w:val="left"/>
      </w:pPr>
      <w:bookmarkStart w:id="114" w:name="_Ref37508893"/>
      <w:r w:rsidRPr="00E21091">
        <w:t xml:space="preserve">D. M. W. Powers, “Evaluation: From precision, recall and f-factor to roc, informedness, markedness &amp; correlation,” </w:t>
      </w:r>
      <w:r w:rsidRPr="00E21091">
        <w:rPr>
          <w:i/>
          <w:iCs/>
        </w:rPr>
        <w:t>J. Mach. Learn. Technol.</w:t>
      </w:r>
      <w:r w:rsidRPr="00E21091">
        <w:t>, vol. 2, no. 1, pp. 37–63, 2011.</w:t>
      </w:r>
      <w:bookmarkEnd w:id="114"/>
      <w:r w:rsidR="002C6813" w:rsidRPr="00E21091">
        <w:rPr>
          <w:i/>
          <w:iCs/>
        </w:rPr>
        <w:br/>
      </w:r>
      <w:r w:rsidR="002C6813" w:rsidRPr="00E21091">
        <w:rPr>
          <w:rFonts w:ascii="Calibri" w:hAnsi="Calibri" w:cs="Calibri"/>
          <w:i/>
          <w:iCs/>
        </w:rPr>
        <w:t>﻿</w:t>
      </w:r>
      <w:r w:rsidR="002C6813" w:rsidRPr="00E21091">
        <w:rPr>
          <w:i/>
          <w:iCs/>
        </w:rPr>
        <w:t>https://bioinfopublication.org/files/articles/2_1_1_JMLT.pdf</w:t>
      </w:r>
      <w:r w:rsidR="002C6813" w:rsidRPr="00E21091">
        <w:t>.</w:t>
      </w:r>
    </w:p>
    <w:p w14:paraId="35E337CB" w14:textId="5937797A" w:rsidR="007D77CC" w:rsidRPr="00E21091" w:rsidRDefault="007D77CC" w:rsidP="00E21091">
      <w:pPr>
        <w:pStyle w:val="references"/>
        <w:keepLines/>
        <w:tabs>
          <w:tab w:val="clear" w:pos="360"/>
        </w:tabs>
        <w:spacing w:line="240" w:lineRule="auto"/>
        <w:ind w:left="634" w:hanging="634"/>
        <w:jc w:val="left"/>
      </w:pPr>
      <w:bookmarkStart w:id="115" w:name="_Ref37509553"/>
      <w:r w:rsidRPr="00E21091">
        <w:t xml:space="preserve">V. Shah, E. von Weltin, T. Ahsan, I. Obeid, and J. Picone, “On the Use of Non-Experts for Generation of High-Quality Annotations of Seizure Events,” </w:t>
      </w:r>
      <w:r w:rsidRPr="00E21091">
        <w:rPr>
          <w:i/>
          <w:iCs/>
        </w:rPr>
        <w:t>J. Clin. Neurophysiol</w:t>
      </w:r>
      <w:r w:rsidRPr="00E21091">
        <w:t>. (under review), 2020.</w:t>
      </w:r>
      <w:r w:rsidRPr="00E21091">
        <w:br/>
      </w:r>
      <w:r w:rsidRPr="00E21091">
        <w:rPr>
          <w:rFonts w:ascii="Calibri" w:hAnsi="Calibri" w:cs="Calibri"/>
        </w:rPr>
        <w:t>﻿</w:t>
      </w:r>
      <w:r w:rsidRPr="00E21091">
        <w:rPr>
          <w:i/>
          <w:iCs/>
        </w:rPr>
        <w:t>https://www.isip.piconepress.com/publications/unpublished/journals/2019/elsevier_cn/ira/</w:t>
      </w:r>
      <w:r w:rsidRPr="00E21091">
        <w:t>.</w:t>
      </w:r>
    </w:p>
    <w:p w14:paraId="73F7CB2C" w14:textId="0254ABC9" w:rsidR="00AB79A5" w:rsidRPr="00E21091" w:rsidRDefault="0016251F" w:rsidP="00E21091">
      <w:pPr>
        <w:pStyle w:val="references"/>
        <w:keepLines/>
        <w:tabs>
          <w:tab w:val="clear" w:pos="360"/>
        </w:tabs>
        <w:spacing w:line="240" w:lineRule="auto"/>
        <w:ind w:left="634" w:hanging="634"/>
        <w:jc w:val="left"/>
      </w:pPr>
      <w:bookmarkStart w:id="116" w:name="_Ref37539863"/>
      <w:bookmarkEnd w:id="115"/>
      <w:r w:rsidRPr="00E21091">
        <w:t xml:space="preserve">F. Hammond, J. Malec, R. Buschbacher, and T. Nick, </w:t>
      </w:r>
      <w:r w:rsidRPr="00E21091">
        <w:rPr>
          <w:i/>
          <w:iCs/>
        </w:rPr>
        <w:t>Handbook for Clinical Research : Design, Statistics, and Implementation</w:t>
      </w:r>
      <w:r w:rsidRPr="00E21091">
        <w:t>. New York City, New York, USA: Demos Medical Publishing, 2015.</w:t>
      </w:r>
      <w:r w:rsidRPr="00E21091">
        <w:br/>
      </w:r>
      <w:bookmarkEnd w:id="116"/>
      <w:r w:rsidRPr="00E21091">
        <w:rPr>
          <w:rFonts w:ascii="Calibri" w:hAnsi="Calibri" w:cs="Calibri"/>
          <w:i/>
          <w:iCs/>
        </w:rPr>
        <w:t>﻿</w:t>
      </w:r>
      <w:hyperlink r:id="rId27" w:history="1">
        <w:r w:rsidR="00D13E74" w:rsidRPr="00E21091">
          <w:rPr>
            <w:rStyle w:val="Hyperlink"/>
            <w:i/>
            <w:iCs/>
          </w:rPr>
          <w:t>https://www.springerpub.com/handbook-for-clinical-research-9781936287543.html</w:t>
        </w:r>
      </w:hyperlink>
      <w:r w:rsidRPr="00E21091">
        <w:t>.</w:t>
      </w:r>
    </w:p>
    <w:p w14:paraId="054F0056" w14:textId="7F447B8A" w:rsidR="00586929" w:rsidRPr="00E21091" w:rsidRDefault="00586929" w:rsidP="00E21091">
      <w:pPr>
        <w:pStyle w:val="references"/>
        <w:keepLines/>
        <w:tabs>
          <w:tab w:val="clear" w:pos="360"/>
        </w:tabs>
        <w:spacing w:line="240" w:lineRule="auto"/>
        <w:ind w:left="634" w:hanging="634"/>
        <w:jc w:val="left"/>
      </w:pPr>
      <w:bookmarkStart w:id="117" w:name="_Ref37901086"/>
      <w:r w:rsidRPr="00E21091">
        <w:lastRenderedPageBreak/>
        <w:t>I. Kiral et al., “The Deep Learning Epilepsy Detection Challenge: Design, Implementation, and Test of a New Crowd-Sourced AI Challenge Ecosystem,” presented at the Neural Information Processing Systems (NeurIPS) Workshop on Challenges in Machine Learning Competitions for All (CiML), 2019.</w:t>
      </w:r>
      <w:r w:rsidRPr="00E21091">
        <w:br/>
      </w:r>
      <w:r w:rsidRPr="00E21091">
        <w:rPr>
          <w:rFonts w:ascii="Calibri" w:hAnsi="Calibri" w:cs="Calibri"/>
        </w:rPr>
        <w:t>﻿</w:t>
      </w:r>
      <w:r w:rsidRPr="00E21091">
        <w:rPr>
          <w:i/>
          <w:iCs/>
        </w:rPr>
        <w:t>https://isip.piconepress.com/publications/conference_presentations/2019/neurips_ciml/epilepsy_challenge/</w:t>
      </w:r>
      <w:bookmarkEnd w:id="117"/>
    </w:p>
    <w:p w14:paraId="19321E60" w14:textId="5E84BDA6" w:rsidR="00D13E74" w:rsidRDefault="00D13E74" w:rsidP="00E21091">
      <w:pPr>
        <w:pStyle w:val="references"/>
        <w:keepLines/>
        <w:tabs>
          <w:tab w:val="clear" w:pos="360"/>
        </w:tabs>
        <w:spacing w:line="240" w:lineRule="auto"/>
        <w:ind w:left="634" w:hanging="634"/>
        <w:jc w:val="left"/>
      </w:pPr>
      <w:bookmarkStart w:id="118" w:name="_Ref37901089"/>
      <w:r w:rsidRPr="00E21091">
        <w:t>Y. Roy, R. Iskander, and J. Picone, “The Neureka(</w:t>
      </w:r>
      <w:r w:rsidRPr="00E21091">
        <w:rPr>
          <w:vertAlign w:val="superscript"/>
        </w:rPr>
        <w:t>TM</w:t>
      </w:r>
      <w:r w:rsidRPr="00E21091">
        <w:t>) 2020 Epilepsy Challenge,” NeuroTechX, 2020. [Online]. [Accessed: 16-Apr-2020].</w:t>
      </w:r>
      <w:r w:rsidR="00B47502" w:rsidRPr="00E21091">
        <w:br/>
      </w:r>
      <w:hyperlink r:id="rId28" w:history="1">
        <w:r w:rsidR="0013073B" w:rsidRPr="00300397">
          <w:rPr>
            <w:rStyle w:val="Hyperlink"/>
            <w:i/>
            <w:iCs/>
          </w:rPr>
          <w:t>https://neureka-challenge.com/</w:t>
        </w:r>
      </w:hyperlink>
      <w:r w:rsidR="00B47502" w:rsidRPr="00E21091">
        <w:t>.</w:t>
      </w:r>
      <w:bookmarkEnd w:id="118"/>
    </w:p>
    <w:p w14:paraId="3D2255C1" w14:textId="03D0A92B" w:rsidR="009505C7" w:rsidRPr="00B8574C" w:rsidRDefault="009505C7" w:rsidP="00E91D8D">
      <w:pPr>
        <w:pStyle w:val="references"/>
        <w:keepLines/>
        <w:numPr>
          <w:ilvl w:val="0"/>
          <w:numId w:val="0"/>
        </w:numPr>
        <w:spacing w:line="240" w:lineRule="auto"/>
        <w:jc w:val="left"/>
      </w:pPr>
      <w:bookmarkStart w:id="119" w:name="end_of_document"/>
      <w:bookmarkEnd w:id="119"/>
    </w:p>
    <w:sectPr w:rsidR="009505C7" w:rsidRPr="00B8574C" w:rsidSect="00E36337">
      <w:headerReference w:type="even" r:id="rId29"/>
      <w:headerReference w:type="default" r:id="rId30"/>
      <w:footerReference w:type="even" r:id="rId31"/>
      <w:headerReference w:type="first" r:id="rId32"/>
      <w:footerReference w:type="first" r:id="rId33"/>
      <w:pgSz w:w="11906" w:h="16838" w:code="9"/>
      <w:pgMar w:top="2948" w:right="2494" w:bottom="2948" w:left="2494"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CD8F1" w14:textId="77777777" w:rsidR="00720FCA" w:rsidRDefault="00720FCA">
      <w:r>
        <w:separator/>
      </w:r>
    </w:p>
  </w:endnote>
  <w:endnote w:type="continuationSeparator" w:id="0">
    <w:p w14:paraId="784B39E2" w14:textId="77777777" w:rsidR="00720FCA" w:rsidRDefault="0072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A5F8" w14:textId="7390DE86" w:rsidR="00FF1B3A" w:rsidRPr="00DD445F" w:rsidRDefault="00FF1B3A" w:rsidP="00DD445F">
    <w:pPr>
      <w:tabs>
        <w:tab w:val="right" w:pos="6918"/>
      </w:tabs>
      <w:ind w:firstLine="0"/>
      <w:rPr>
        <w:sz w:val="18"/>
        <w:szCs w:val="18"/>
      </w:rPr>
    </w:pPr>
    <w:r w:rsidRPr="00DD445F">
      <w:rPr>
        <w:sz w:val="18"/>
        <w:szCs w:val="18"/>
      </w:rPr>
      <w:t>IEEE SPMB 20</w:t>
    </w:r>
    <w:r>
      <w:rPr>
        <w:sz w:val="18"/>
        <w:szCs w:val="18"/>
      </w:rPr>
      <w:t>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October 1, 2020</w:t>
    </w:r>
    <w:r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6A38" w14:textId="2F54BC36" w:rsidR="00FF1B3A" w:rsidRPr="00DD445F" w:rsidRDefault="00FF1B3A" w:rsidP="00E36337">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October 1, 2020</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D6F38" w14:textId="77777777" w:rsidR="00720FCA" w:rsidRDefault="00720FCA" w:rsidP="00895F20">
      <w:pPr>
        <w:ind w:firstLine="0"/>
      </w:pPr>
      <w:r>
        <w:separator/>
      </w:r>
    </w:p>
  </w:footnote>
  <w:footnote w:type="continuationSeparator" w:id="0">
    <w:p w14:paraId="6B5BC928" w14:textId="77777777" w:rsidR="00720FCA" w:rsidRDefault="00720FCA" w:rsidP="00895F20">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4225" w14:textId="7967CBBD"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569859230"/>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E91D8D">
      <w:rPr>
        <w:rStyle w:val="PageNumber"/>
        <w:noProof/>
      </w:rPr>
      <w:t>34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66B1" w14:textId="00E89D6C"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904568559"/>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E91D8D">
      <w:rPr>
        <w:rStyle w:val="PageNumber"/>
        <w:noProof/>
      </w:rPr>
      <w:t>34</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30F076B"/>
    <w:multiLevelType w:val="hybridMultilevel"/>
    <w:tmpl w:val="917EF610"/>
    <w:lvl w:ilvl="0" w:tplc="B4522A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FA008B3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2"/>
      </w:rPr>
    </w:lvl>
  </w:abstractNum>
  <w:abstractNum w:abstractNumId="10"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7"/>
  </w:num>
  <w:num w:numId="2">
    <w:abstractNumId w:val="4"/>
  </w:num>
  <w:num w:numId="3">
    <w:abstractNumId w:val="15"/>
  </w:num>
  <w:num w:numId="4">
    <w:abstractNumId w:val="16"/>
  </w:num>
  <w:num w:numId="5">
    <w:abstractNumId w:val="18"/>
  </w:num>
  <w:num w:numId="6">
    <w:abstractNumId w:val="1"/>
  </w:num>
  <w:num w:numId="7">
    <w:abstractNumId w:val="16"/>
  </w:num>
  <w:num w:numId="8">
    <w:abstractNumId w:val="0"/>
  </w:num>
  <w:num w:numId="9">
    <w:abstractNumId w:val="18"/>
  </w:num>
  <w:num w:numId="10">
    <w:abstractNumId w:val="4"/>
  </w:num>
  <w:num w:numId="11">
    <w:abstractNumId w:val="15"/>
  </w:num>
  <w:num w:numId="12">
    <w:abstractNumId w:val="7"/>
  </w:num>
  <w:num w:numId="13">
    <w:abstractNumId w:val="6"/>
  </w:num>
  <w:num w:numId="14">
    <w:abstractNumId w:val="13"/>
  </w:num>
  <w:num w:numId="15">
    <w:abstractNumId w:val="5"/>
  </w:num>
  <w:num w:numId="16">
    <w:abstractNumId w:val="9"/>
  </w:num>
  <w:num w:numId="17">
    <w:abstractNumId w:val="14"/>
  </w:num>
  <w:num w:numId="18">
    <w:abstractNumId w:val="2"/>
  </w:num>
  <w:num w:numId="19">
    <w:abstractNumId w:val="12"/>
  </w:num>
  <w:num w:numId="20">
    <w:abstractNumId w:val="10"/>
  </w:num>
  <w:num w:numId="21">
    <w:abstractNumId w:val="3"/>
  </w:num>
  <w:num w:numId="22">
    <w:abstractNumId w:val="11"/>
  </w:num>
  <w:num w:numId="23">
    <w:abstractNumId w:val="8"/>
  </w:num>
  <w:num w:numId="24">
    <w:abstractNumId w:val="16"/>
  </w:num>
  <w:num w:numId="25">
    <w:abstractNumId w:val="9"/>
  </w:num>
  <w:num w:numId="26">
    <w:abstractNumId w:val="9"/>
  </w:num>
  <w:num w:numId="27">
    <w:abstractNumId w:val="16"/>
  </w:num>
  <w:num w:numId="28">
    <w:abstractNumId w:val="16"/>
  </w:num>
  <w:num w:numId="29">
    <w:abstractNumId w:val="16"/>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7E8"/>
    <w:rsid w:val="00007F40"/>
    <w:rsid w:val="00014ADC"/>
    <w:rsid w:val="00015441"/>
    <w:rsid w:val="00016825"/>
    <w:rsid w:val="000214DA"/>
    <w:rsid w:val="00021FD6"/>
    <w:rsid w:val="000232F1"/>
    <w:rsid w:val="0002597B"/>
    <w:rsid w:val="00025D8F"/>
    <w:rsid w:val="000309B7"/>
    <w:rsid w:val="00030E3E"/>
    <w:rsid w:val="0003135A"/>
    <w:rsid w:val="00031668"/>
    <w:rsid w:val="0003384D"/>
    <w:rsid w:val="00034555"/>
    <w:rsid w:val="00034765"/>
    <w:rsid w:val="00040402"/>
    <w:rsid w:val="0004696A"/>
    <w:rsid w:val="000504F1"/>
    <w:rsid w:val="000515E5"/>
    <w:rsid w:val="0005195F"/>
    <w:rsid w:val="00052413"/>
    <w:rsid w:val="00053DF3"/>
    <w:rsid w:val="0005696A"/>
    <w:rsid w:val="000569E7"/>
    <w:rsid w:val="00056A7E"/>
    <w:rsid w:val="00057012"/>
    <w:rsid w:val="00061005"/>
    <w:rsid w:val="00067824"/>
    <w:rsid w:val="00071350"/>
    <w:rsid w:val="000740BE"/>
    <w:rsid w:val="000745D7"/>
    <w:rsid w:val="0007498B"/>
    <w:rsid w:val="0007593C"/>
    <w:rsid w:val="00076A40"/>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A22F2"/>
    <w:rsid w:val="000A26D9"/>
    <w:rsid w:val="000A2A0C"/>
    <w:rsid w:val="000A2E55"/>
    <w:rsid w:val="000A2FD4"/>
    <w:rsid w:val="000A4CCB"/>
    <w:rsid w:val="000B1E82"/>
    <w:rsid w:val="000B2266"/>
    <w:rsid w:val="000B79CE"/>
    <w:rsid w:val="000B7E4C"/>
    <w:rsid w:val="000C006D"/>
    <w:rsid w:val="000C04F0"/>
    <w:rsid w:val="000C4C8F"/>
    <w:rsid w:val="000D154E"/>
    <w:rsid w:val="000D16FA"/>
    <w:rsid w:val="000D1EA5"/>
    <w:rsid w:val="000D28F5"/>
    <w:rsid w:val="000D3597"/>
    <w:rsid w:val="000D6D27"/>
    <w:rsid w:val="000D7FF4"/>
    <w:rsid w:val="000E071F"/>
    <w:rsid w:val="000E1BC7"/>
    <w:rsid w:val="000E37DE"/>
    <w:rsid w:val="000E38DF"/>
    <w:rsid w:val="000F054D"/>
    <w:rsid w:val="000F0AD1"/>
    <w:rsid w:val="000F0DC5"/>
    <w:rsid w:val="000F1DA7"/>
    <w:rsid w:val="000F1F28"/>
    <w:rsid w:val="000F2412"/>
    <w:rsid w:val="000F3DAA"/>
    <w:rsid w:val="000F4747"/>
    <w:rsid w:val="000F782C"/>
    <w:rsid w:val="0010175C"/>
    <w:rsid w:val="00105FA0"/>
    <w:rsid w:val="00112D30"/>
    <w:rsid w:val="001131AC"/>
    <w:rsid w:val="001141DC"/>
    <w:rsid w:val="00117CC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623D9"/>
    <w:rsid w:val="0016251F"/>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34B"/>
    <w:rsid w:val="001A0432"/>
    <w:rsid w:val="001A0854"/>
    <w:rsid w:val="001A0E09"/>
    <w:rsid w:val="001A2899"/>
    <w:rsid w:val="001A4878"/>
    <w:rsid w:val="001B0087"/>
    <w:rsid w:val="001B255B"/>
    <w:rsid w:val="001B3097"/>
    <w:rsid w:val="001B44A7"/>
    <w:rsid w:val="001B4547"/>
    <w:rsid w:val="001B4A7C"/>
    <w:rsid w:val="001C04B2"/>
    <w:rsid w:val="001C49CF"/>
    <w:rsid w:val="001C660F"/>
    <w:rsid w:val="001C7A26"/>
    <w:rsid w:val="001C7A42"/>
    <w:rsid w:val="001D2B91"/>
    <w:rsid w:val="001D300B"/>
    <w:rsid w:val="001D3E27"/>
    <w:rsid w:val="001D411E"/>
    <w:rsid w:val="001D532F"/>
    <w:rsid w:val="001D53EB"/>
    <w:rsid w:val="001E21AD"/>
    <w:rsid w:val="001E3A57"/>
    <w:rsid w:val="001F4DAF"/>
    <w:rsid w:val="001F5439"/>
    <w:rsid w:val="001F6910"/>
    <w:rsid w:val="00200B12"/>
    <w:rsid w:val="00204E89"/>
    <w:rsid w:val="002065FF"/>
    <w:rsid w:val="002068C7"/>
    <w:rsid w:val="00210248"/>
    <w:rsid w:val="0021031C"/>
    <w:rsid w:val="00210DB8"/>
    <w:rsid w:val="0021134D"/>
    <w:rsid w:val="002121FB"/>
    <w:rsid w:val="00212511"/>
    <w:rsid w:val="00213A7D"/>
    <w:rsid w:val="00213E7A"/>
    <w:rsid w:val="00214AC2"/>
    <w:rsid w:val="0022109F"/>
    <w:rsid w:val="00221850"/>
    <w:rsid w:val="002224E1"/>
    <w:rsid w:val="002239A8"/>
    <w:rsid w:val="00223AFF"/>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542EE"/>
    <w:rsid w:val="00254735"/>
    <w:rsid w:val="0025587A"/>
    <w:rsid w:val="00257E48"/>
    <w:rsid w:val="0026082C"/>
    <w:rsid w:val="00261A9B"/>
    <w:rsid w:val="00262528"/>
    <w:rsid w:val="00263713"/>
    <w:rsid w:val="002639D9"/>
    <w:rsid w:val="00264407"/>
    <w:rsid w:val="0026503B"/>
    <w:rsid w:val="00266690"/>
    <w:rsid w:val="00270386"/>
    <w:rsid w:val="0027411A"/>
    <w:rsid w:val="00274CDD"/>
    <w:rsid w:val="0027506C"/>
    <w:rsid w:val="00277E5D"/>
    <w:rsid w:val="00277F22"/>
    <w:rsid w:val="00277F2F"/>
    <w:rsid w:val="002823FC"/>
    <w:rsid w:val="00284840"/>
    <w:rsid w:val="00290B6E"/>
    <w:rsid w:val="00293720"/>
    <w:rsid w:val="002A0991"/>
    <w:rsid w:val="002A1756"/>
    <w:rsid w:val="002A3A9D"/>
    <w:rsid w:val="002A4602"/>
    <w:rsid w:val="002A4A69"/>
    <w:rsid w:val="002A56B5"/>
    <w:rsid w:val="002A72FF"/>
    <w:rsid w:val="002A758D"/>
    <w:rsid w:val="002B37C8"/>
    <w:rsid w:val="002B406E"/>
    <w:rsid w:val="002B5066"/>
    <w:rsid w:val="002B53C3"/>
    <w:rsid w:val="002B66F5"/>
    <w:rsid w:val="002B7863"/>
    <w:rsid w:val="002C079A"/>
    <w:rsid w:val="002C110C"/>
    <w:rsid w:val="002C408F"/>
    <w:rsid w:val="002C5AFA"/>
    <w:rsid w:val="002C6500"/>
    <w:rsid w:val="002C6813"/>
    <w:rsid w:val="002D1288"/>
    <w:rsid w:val="002D200D"/>
    <w:rsid w:val="002D34CD"/>
    <w:rsid w:val="002D39B1"/>
    <w:rsid w:val="002E01D8"/>
    <w:rsid w:val="002E25F0"/>
    <w:rsid w:val="002E323E"/>
    <w:rsid w:val="002E36AF"/>
    <w:rsid w:val="002E3911"/>
    <w:rsid w:val="002E5AD3"/>
    <w:rsid w:val="002E6BA4"/>
    <w:rsid w:val="002F3CD1"/>
    <w:rsid w:val="002F3D2A"/>
    <w:rsid w:val="002F5E45"/>
    <w:rsid w:val="003025D3"/>
    <w:rsid w:val="00305345"/>
    <w:rsid w:val="00306834"/>
    <w:rsid w:val="00307282"/>
    <w:rsid w:val="00307D1B"/>
    <w:rsid w:val="00311A1E"/>
    <w:rsid w:val="00311C8D"/>
    <w:rsid w:val="00312F45"/>
    <w:rsid w:val="00313513"/>
    <w:rsid w:val="00314534"/>
    <w:rsid w:val="0031466D"/>
    <w:rsid w:val="00315BE5"/>
    <w:rsid w:val="00316D69"/>
    <w:rsid w:val="00316E8F"/>
    <w:rsid w:val="00317DB9"/>
    <w:rsid w:val="0032669C"/>
    <w:rsid w:val="0032699F"/>
    <w:rsid w:val="00326CC6"/>
    <w:rsid w:val="0032782E"/>
    <w:rsid w:val="00333D44"/>
    <w:rsid w:val="00334C04"/>
    <w:rsid w:val="00336943"/>
    <w:rsid w:val="00341AEA"/>
    <w:rsid w:val="00341F67"/>
    <w:rsid w:val="00343632"/>
    <w:rsid w:val="00343FE3"/>
    <w:rsid w:val="00344572"/>
    <w:rsid w:val="003470B0"/>
    <w:rsid w:val="00350CC8"/>
    <w:rsid w:val="0035112D"/>
    <w:rsid w:val="00354C91"/>
    <w:rsid w:val="0035513F"/>
    <w:rsid w:val="00355CB2"/>
    <w:rsid w:val="003606CA"/>
    <w:rsid w:val="00360CCD"/>
    <w:rsid w:val="0036104B"/>
    <w:rsid w:val="0036162D"/>
    <w:rsid w:val="00362269"/>
    <w:rsid w:val="00362A85"/>
    <w:rsid w:val="003633D4"/>
    <w:rsid w:val="00364275"/>
    <w:rsid w:val="003655E1"/>
    <w:rsid w:val="00371063"/>
    <w:rsid w:val="00371AC2"/>
    <w:rsid w:val="003723B4"/>
    <w:rsid w:val="003725AF"/>
    <w:rsid w:val="00372CA7"/>
    <w:rsid w:val="00373ABC"/>
    <w:rsid w:val="00373E92"/>
    <w:rsid w:val="00376180"/>
    <w:rsid w:val="00377276"/>
    <w:rsid w:val="00377424"/>
    <w:rsid w:val="0038102B"/>
    <w:rsid w:val="00385C2A"/>
    <w:rsid w:val="00394942"/>
    <w:rsid w:val="003949F3"/>
    <w:rsid w:val="00394B99"/>
    <w:rsid w:val="00396548"/>
    <w:rsid w:val="003969B2"/>
    <w:rsid w:val="003A1EB7"/>
    <w:rsid w:val="003A3A01"/>
    <w:rsid w:val="003A7BEF"/>
    <w:rsid w:val="003B0216"/>
    <w:rsid w:val="003B11D1"/>
    <w:rsid w:val="003B13D1"/>
    <w:rsid w:val="003B2F07"/>
    <w:rsid w:val="003B33F7"/>
    <w:rsid w:val="003B7599"/>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185F"/>
    <w:rsid w:val="003F1DCF"/>
    <w:rsid w:val="003F4765"/>
    <w:rsid w:val="003F65A6"/>
    <w:rsid w:val="003F793D"/>
    <w:rsid w:val="004016AE"/>
    <w:rsid w:val="00407781"/>
    <w:rsid w:val="00412EE6"/>
    <w:rsid w:val="00414563"/>
    <w:rsid w:val="0041626B"/>
    <w:rsid w:val="00417339"/>
    <w:rsid w:val="004177D9"/>
    <w:rsid w:val="00422A9A"/>
    <w:rsid w:val="00423551"/>
    <w:rsid w:val="00423F1B"/>
    <w:rsid w:val="0042433B"/>
    <w:rsid w:val="00426C62"/>
    <w:rsid w:val="0042772B"/>
    <w:rsid w:val="00427FBE"/>
    <w:rsid w:val="004328A0"/>
    <w:rsid w:val="00433441"/>
    <w:rsid w:val="00435214"/>
    <w:rsid w:val="00435D07"/>
    <w:rsid w:val="0043638E"/>
    <w:rsid w:val="00436948"/>
    <w:rsid w:val="0043737C"/>
    <w:rsid w:val="0044009C"/>
    <w:rsid w:val="00441730"/>
    <w:rsid w:val="00441A3D"/>
    <w:rsid w:val="00441DCB"/>
    <w:rsid w:val="00442A6C"/>
    <w:rsid w:val="004435BA"/>
    <w:rsid w:val="00444190"/>
    <w:rsid w:val="00451206"/>
    <w:rsid w:val="004534C9"/>
    <w:rsid w:val="00453C76"/>
    <w:rsid w:val="00454BF2"/>
    <w:rsid w:val="00454DD4"/>
    <w:rsid w:val="00456287"/>
    <w:rsid w:val="00457169"/>
    <w:rsid w:val="00457390"/>
    <w:rsid w:val="00462010"/>
    <w:rsid w:val="0046213F"/>
    <w:rsid w:val="0047034E"/>
    <w:rsid w:val="004705AF"/>
    <w:rsid w:val="00471B63"/>
    <w:rsid w:val="00471D55"/>
    <w:rsid w:val="0047305E"/>
    <w:rsid w:val="00473617"/>
    <w:rsid w:val="00476076"/>
    <w:rsid w:val="00476386"/>
    <w:rsid w:val="00477C52"/>
    <w:rsid w:val="00477F90"/>
    <w:rsid w:val="00482D47"/>
    <w:rsid w:val="00482E0F"/>
    <w:rsid w:val="0048344D"/>
    <w:rsid w:val="0048390A"/>
    <w:rsid w:val="00483ED5"/>
    <w:rsid w:val="00484DD3"/>
    <w:rsid w:val="00485CEA"/>
    <w:rsid w:val="00486D71"/>
    <w:rsid w:val="004918B5"/>
    <w:rsid w:val="00492615"/>
    <w:rsid w:val="004956C3"/>
    <w:rsid w:val="00495761"/>
    <w:rsid w:val="00496D84"/>
    <w:rsid w:val="00497AD6"/>
    <w:rsid w:val="004A0713"/>
    <w:rsid w:val="004A1738"/>
    <w:rsid w:val="004B065F"/>
    <w:rsid w:val="004B0CE8"/>
    <w:rsid w:val="004B3E01"/>
    <w:rsid w:val="004B6050"/>
    <w:rsid w:val="004B6367"/>
    <w:rsid w:val="004C07B7"/>
    <w:rsid w:val="004C20E7"/>
    <w:rsid w:val="004C2656"/>
    <w:rsid w:val="004C2812"/>
    <w:rsid w:val="004C2EB3"/>
    <w:rsid w:val="004D08AA"/>
    <w:rsid w:val="004D189F"/>
    <w:rsid w:val="004D49E8"/>
    <w:rsid w:val="004D4E83"/>
    <w:rsid w:val="004D5C2F"/>
    <w:rsid w:val="004D6665"/>
    <w:rsid w:val="004D7C52"/>
    <w:rsid w:val="004E0BF3"/>
    <w:rsid w:val="004E0C9D"/>
    <w:rsid w:val="004E120D"/>
    <w:rsid w:val="004E4E8F"/>
    <w:rsid w:val="004E75C5"/>
    <w:rsid w:val="004F16B4"/>
    <w:rsid w:val="004F2D0B"/>
    <w:rsid w:val="004F3277"/>
    <w:rsid w:val="004F40F9"/>
    <w:rsid w:val="004F6474"/>
    <w:rsid w:val="004F7E86"/>
    <w:rsid w:val="00500895"/>
    <w:rsid w:val="005010B4"/>
    <w:rsid w:val="00501109"/>
    <w:rsid w:val="00501B8C"/>
    <w:rsid w:val="0050321B"/>
    <w:rsid w:val="00503235"/>
    <w:rsid w:val="0050369B"/>
    <w:rsid w:val="00504743"/>
    <w:rsid w:val="00511908"/>
    <w:rsid w:val="00512421"/>
    <w:rsid w:val="005137B7"/>
    <w:rsid w:val="0051658B"/>
    <w:rsid w:val="0052062F"/>
    <w:rsid w:val="00521BC8"/>
    <w:rsid w:val="0052599C"/>
    <w:rsid w:val="00526F60"/>
    <w:rsid w:val="0053088E"/>
    <w:rsid w:val="00531E07"/>
    <w:rsid w:val="00532767"/>
    <w:rsid w:val="00532C7E"/>
    <w:rsid w:val="0053704E"/>
    <w:rsid w:val="0053710F"/>
    <w:rsid w:val="005377DD"/>
    <w:rsid w:val="0054765F"/>
    <w:rsid w:val="005529EC"/>
    <w:rsid w:val="0055305C"/>
    <w:rsid w:val="00553E00"/>
    <w:rsid w:val="005611CC"/>
    <w:rsid w:val="00561FEC"/>
    <w:rsid w:val="00562091"/>
    <w:rsid w:val="00564ED7"/>
    <w:rsid w:val="00571515"/>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B0EF1"/>
    <w:rsid w:val="005B1AEA"/>
    <w:rsid w:val="005B32AC"/>
    <w:rsid w:val="005B3D33"/>
    <w:rsid w:val="005C5E0A"/>
    <w:rsid w:val="005C6A04"/>
    <w:rsid w:val="005C70FB"/>
    <w:rsid w:val="005D172C"/>
    <w:rsid w:val="005D6FDE"/>
    <w:rsid w:val="005E026B"/>
    <w:rsid w:val="005E2515"/>
    <w:rsid w:val="005E316C"/>
    <w:rsid w:val="005E5163"/>
    <w:rsid w:val="005E56CD"/>
    <w:rsid w:val="005F4EB3"/>
    <w:rsid w:val="005F55DC"/>
    <w:rsid w:val="00604BA8"/>
    <w:rsid w:val="006052E9"/>
    <w:rsid w:val="006079E1"/>
    <w:rsid w:val="006118FA"/>
    <w:rsid w:val="00611E83"/>
    <w:rsid w:val="0061213E"/>
    <w:rsid w:val="0061522E"/>
    <w:rsid w:val="006155EE"/>
    <w:rsid w:val="00616817"/>
    <w:rsid w:val="00623F53"/>
    <w:rsid w:val="006258CB"/>
    <w:rsid w:val="00625C35"/>
    <w:rsid w:val="00625C3B"/>
    <w:rsid w:val="00627D6A"/>
    <w:rsid w:val="0063107C"/>
    <w:rsid w:val="00631A9F"/>
    <w:rsid w:val="00633428"/>
    <w:rsid w:val="0063524B"/>
    <w:rsid w:val="006355EE"/>
    <w:rsid w:val="00637DFE"/>
    <w:rsid w:val="00640F49"/>
    <w:rsid w:val="00641827"/>
    <w:rsid w:val="00642073"/>
    <w:rsid w:val="00642970"/>
    <w:rsid w:val="006469B8"/>
    <w:rsid w:val="00650CEB"/>
    <w:rsid w:val="00651843"/>
    <w:rsid w:val="00653A1B"/>
    <w:rsid w:val="0065405B"/>
    <w:rsid w:val="00656155"/>
    <w:rsid w:val="00661663"/>
    <w:rsid w:val="0066250C"/>
    <w:rsid w:val="0066446C"/>
    <w:rsid w:val="00664FDE"/>
    <w:rsid w:val="0066504A"/>
    <w:rsid w:val="006672C7"/>
    <w:rsid w:val="006713CE"/>
    <w:rsid w:val="0067246E"/>
    <w:rsid w:val="0067319E"/>
    <w:rsid w:val="00673747"/>
    <w:rsid w:val="00674CEB"/>
    <w:rsid w:val="006750C2"/>
    <w:rsid w:val="006778FD"/>
    <w:rsid w:val="0068057D"/>
    <w:rsid w:val="006814BC"/>
    <w:rsid w:val="00681D28"/>
    <w:rsid w:val="00683048"/>
    <w:rsid w:val="006856F2"/>
    <w:rsid w:val="00690F07"/>
    <w:rsid w:val="006926F2"/>
    <w:rsid w:val="006968F0"/>
    <w:rsid w:val="006A0501"/>
    <w:rsid w:val="006A1D3F"/>
    <w:rsid w:val="006A4C19"/>
    <w:rsid w:val="006A5D0F"/>
    <w:rsid w:val="006A645F"/>
    <w:rsid w:val="006B04CE"/>
    <w:rsid w:val="006B184A"/>
    <w:rsid w:val="006B1D14"/>
    <w:rsid w:val="006B51A5"/>
    <w:rsid w:val="006C0AD3"/>
    <w:rsid w:val="006C1478"/>
    <w:rsid w:val="006C2D92"/>
    <w:rsid w:val="006C2D95"/>
    <w:rsid w:val="006C5622"/>
    <w:rsid w:val="006C6301"/>
    <w:rsid w:val="006C74CC"/>
    <w:rsid w:val="006D3CEC"/>
    <w:rsid w:val="006D44A1"/>
    <w:rsid w:val="006D63CD"/>
    <w:rsid w:val="006E00D5"/>
    <w:rsid w:val="006E031A"/>
    <w:rsid w:val="006E13E0"/>
    <w:rsid w:val="006E3E1A"/>
    <w:rsid w:val="006E3F54"/>
    <w:rsid w:val="006E4A3D"/>
    <w:rsid w:val="006E4EE2"/>
    <w:rsid w:val="006E5B81"/>
    <w:rsid w:val="006E67DF"/>
    <w:rsid w:val="006F077C"/>
    <w:rsid w:val="006F1860"/>
    <w:rsid w:val="006F1F04"/>
    <w:rsid w:val="006F257F"/>
    <w:rsid w:val="006F25B3"/>
    <w:rsid w:val="006F4954"/>
    <w:rsid w:val="006F4F49"/>
    <w:rsid w:val="006F65A4"/>
    <w:rsid w:val="007001D0"/>
    <w:rsid w:val="0070078C"/>
    <w:rsid w:val="007026BF"/>
    <w:rsid w:val="007027E6"/>
    <w:rsid w:val="0070371D"/>
    <w:rsid w:val="007043C1"/>
    <w:rsid w:val="00706A12"/>
    <w:rsid w:val="00707750"/>
    <w:rsid w:val="007114F5"/>
    <w:rsid w:val="00714E9D"/>
    <w:rsid w:val="007179B7"/>
    <w:rsid w:val="00720FCA"/>
    <w:rsid w:val="00722FCD"/>
    <w:rsid w:val="00723ACA"/>
    <w:rsid w:val="007258B5"/>
    <w:rsid w:val="00726A40"/>
    <w:rsid w:val="00726F80"/>
    <w:rsid w:val="00731E8F"/>
    <w:rsid w:val="00734CE6"/>
    <w:rsid w:val="00735682"/>
    <w:rsid w:val="007364CE"/>
    <w:rsid w:val="0074131A"/>
    <w:rsid w:val="0074141C"/>
    <w:rsid w:val="0074633C"/>
    <w:rsid w:val="0074741C"/>
    <w:rsid w:val="00747F1C"/>
    <w:rsid w:val="00750E7D"/>
    <w:rsid w:val="007540B1"/>
    <w:rsid w:val="007608F0"/>
    <w:rsid w:val="007626F0"/>
    <w:rsid w:val="0076605E"/>
    <w:rsid w:val="00770457"/>
    <w:rsid w:val="00770A1A"/>
    <w:rsid w:val="00773066"/>
    <w:rsid w:val="00775674"/>
    <w:rsid w:val="00775796"/>
    <w:rsid w:val="007809D1"/>
    <w:rsid w:val="00780F47"/>
    <w:rsid w:val="00787122"/>
    <w:rsid w:val="007905B8"/>
    <w:rsid w:val="0079089D"/>
    <w:rsid w:val="00791F63"/>
    <w:rsid w:val="00795AEF"/>
    <w:rsid w:val="0079654F"/>
    <w:rsid w:val="007A08F7"/>
    <w:rsid w:val="007A3249"/>
    <w:rsid w:val="007A52AC"/>
    <w:rsid w:val="007A5867"/>
    <w:rsid w:val="007A74E1"/>
    <w:rsid w:val="007B2925"/>
    <w:rsid w:val="007B358E"/>
    <w:rsid w:val="007B4A2C"/>
    <w:rsid w:val="007B722C"/>
    <w:rsid w:val="007B7B69"/>
    <w:rsid w:val="007B7FC4"/>
    <w:rsid w:val="007C019C"/>
    <w:rsid w:val="007C1B8F"/>
    <w:rsid w:val="007C3C38"/>
    <w:rsid w:val="007C7941"/>
    <w:rsid w:val="007D0A21"/>
    <w:rsid w:val="007D1350"/>
    <w:rsid w:val="007D3F01"/>
    <w:rsid w:val="007D6592"/>
    <w:rsid w:val="007D6893"/>
    <w:rsid w:val="007D77CC"/>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1D22"/>
    <w:rsid w:val="00852E68"/>
    <w:rsid w:val="008556C3"/>
    <w:rsid w:val="008651F5"/>
    <w:rsid w:val="00865AB7"/>
    <w:rsid w:val="00870B87"/>
    <w:rsid w:val="00871508"/>
    <w:rsid w:val="00871A19"/>
    <w:rsid w:val="00872347"/>
    <w:rsid w:val="00873A48"/>
    <w:rsid w:val="0087429B"/>
    <w:rsid w:val="008762C3"/>
    <w:rsid w:val="00880246"/>
    <w:rsid w:val="00892087"/>
    <w:rsid w:val="008940AB"/>
    <w:rsid w:val="008946C9"/>
    <w:rsid w:val="00895F20"/>
    <w:rsid w:val="008968C0"/>
    <w:rsid w:val="0089729E"/>
    <w:rsid w:val="008A0EDC"/>
    <w:rsid w:val="008A1F23"/>
    <w:rsid w:val="008A281F"/>
    <w:rsid w:val="008A37D3"/>
    <w:rsid w:val="008A5A8B"/>
    <w:rsid w:val="008A6D7D"/>
    <w:rsid w:val="008A6E4E"/>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648E"/>
    <w:rsid w:val="008B7A0C"/>
    <w:rsid w:val="008C1CDA"/>
    <w:rsid w:val="008C511A"/>
    <w:rsid w:val="008C6347"/>
    <w:rsid w:val="008C6548"/>
    <w:rsid w:val="008C66D2"/>
    <w:rsid w:val="008C7EDE"/>
    <w:rsid w:val="008C7F86"/>
    <w:rsid w:val="008D003F"/>
    <w:rsid w:val="008D00D5"/>
    <w:rsid w:val="008D170F"/>
    <w:rsid w:val="008D3338"/>
    <w:rsid w:val="008D3C6F"/>
    <w:rsid w:val="008D4CD3"/>
    <w:rsid w:val="008D5673"/>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B3A"/>
    <w:rsid w:val="00905DD2"/>
    <w:rsid w:val="0090666A"/>
    <w:rsid w:val="0090670B"/>
    <w:rsid w:val="00906BBE"/>
    <w:rsid w:val="009079EF"/>
    <w:rsid w:val="009116E7"/>
    <w:rsid w:val="00912D08"/>
    <w:rsid w:val="0091418A"/>
    <w:rsid w:val="009208B1"/>
    <w:rsid w:val="009236C9"/>
    <w:rsid w:val="00923FF0"/>
    <w:rsid w:val="00926569"/>
    <w:rsid w:val="00927042"/>
    <w:rsid w:val="00930BED"/>
    <w:rsid w:val="0093247D"/>
    <w:rsid w:val="00933506"/>
    <w:rsid w:val="00933633"/>
    <w:rsid w:val="0093372E"/>
    <w:rsid w:val="00933AD3"/>
    <w:rsid w:val="00934039"/>
    <w:rsid w:val="00942F71"/>
    <w:rsid w:val="009459F1"/>
    <w:rsid w:val="009505C7"/>
    <w:rsid w:val="00950D0B"/>
    <w:rsid w:val="009516CE"/>
    <w:rsid w:val="009548D3"/>
    <w:rsid w:val="00954B43"/>
    <w:rsid w:val="009557CB"/>
    <w:rsid w:val="00957940"/>
    <w:rsid w:val="00960D65"/>
    <w:rsid w:val="00962584"/>
    <w:rsid w:val="00963A64"/>
    <w:rsid w:val="00963FCB"/>
    <w:rsid w:val="009702E3"/>
    <w:rsid w:val="009739B4"/>
    <w:rsid w:val="00975918"/>
    <w:rsid w:val="00980419"/>
    <w:rsid w:val="00980704"/>
    <w:rsid w:val="00984E32"/>
    <w:rsid w:val="0098549F"/>
    <w:rsid w:val="0098555B"/>
    <w:rsid w:val="00985E92"/>
    <w:rsid w:val="00990137"/>
    <w:rsid w:val="00990BBC"/>
    <w:rsid w:val="00990D8D"/>
    <w:rsid w:val="00991EFC"/>
    <w:rsid w:val="00991F7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C1123"/>
    <w:rsid w:val="009C1481"/>
    <w:rsid w:val="009C26D8"/>
    <w:rsid w:val="009C3B77"/>
    <w:rsid w:val="009C3E60"/>
    <w:rsid w:val="009C411C"/>
    <w:rsid w:val="009C439C"/>
    <w:rsid w:val="009C63D2"/>
    <w:rsid w:val="009D0F4D"/>
    <w:rsid w:val="009D43A9"/>
    <w:rsid w:val="009D5432"/>
    <w:rsid w:val="009D627C"/>
    <w:rsid w:val="009D6970"/>
    <w:rsid w:val="009E0156"/>
    <w:rsid w:val="009E0616"/>
    <w:rsid w:val="009E2890"/>
    <w:rsid w:val="009E388E"/>
    <w:rsid w:val="009E4E69"/>
    <w:rsid w:val="009E649D"/>
    <w:rsid w:val="009F128A"/>
    <w:rsid w:val="009F368A"/>
    <w:rsid w:val="009F484C"/>
    <w:rsid w:val="009F73DF"/>
    <w:rsid w:val="009F7FCE"/>
    <w:rsid w:val="00A05104"/>
    <w:rsid w:val="00A06578"/>
    <w:rsid w:val="00A10B22"/>
    <w:rsid w:val="00A15071"/>
    <w:rsid w:val="00A17464"/>
    <w:rsid w:val="00A20B4B"/>
    <w:rsid w:val="00A23D24"/>
    <w:rsid w:val="00A24F12"/>
    <w:rsid w:val="00A252D4"/>
    <w:rsid w:val="00A2627C"/>
    <w:rsid w:val="00A26846"/>
    <w:rsid w:val="00A27AFB"/>
    <w:rsid w:val="00A32D1E"/>
    <w:rsid w:val="00A33255"/>
    <w:rsid w:val="00A3516F"/>
    <w:rsid w:val="00A35229"/>
    <w:rsid w:val="00A37688"/>
    <w:rsid w:val="00A37FEA"/>
    <w:rsid w:val="00A42D6A"/>
    <w:rsid w:val="00A442F2"/>
    <w:rsid w:val="00A504B6"/>
    <w:rsid w:val="00A50777"/>
    <w:rsid w:val="00A52DF4"/>
    <w:rsid w:val="00A54859"/>
    <w:rsid w:val="00A55822"/>
    <w:rsid w:val="00A56DEB"/>
    <w:rsid w:val="00A57525"/>
    <w:rsid w:val="00A57F58"/>
    <w:rsid w:val="00A61EE6"/>
    <w:rsid w:val="00A652A7"/>
    <w:rsid w:val="00A667B6"/>
    <w:rsid w:val="00A71ED2"/>
    <w:rsid w:val="00A74418"/>
    <w:rsid w:val="00A80555"/>
    <w:rsid w:val="00A81874"/>
    <w:rsid w:val="00A82F18"/>
    <w:rsid w:val="00A830C7"/>
    <w:rsid w:val="00A83872"/>
    <w:rsid w:val="00A84216"/>
    <w:rsid w:val="00A85F41"/>
    <w:rsid w:val="00A87665"/>
    <w:rsid w:val="00A91795"/>
    <w:rsid w:val="00A92ED7"/>
    <w:rsid w:val="00A96354"/>
    <w:rsid w:val="00AA19EB"/>
    <w:rsid w:val="00AA24E5"/>
    <w:rsid w:val="00AA3044"/>
    <w:rsid w:val="00AA4B05"/>
    <w:rsid w:val="00AB2269"/>
    <w:rsid w:val="00AB2CDF"/>
    <w:rsid w:val="00AB79A5"/>
    <w:rsid w:val="00AC0F6A"/>
    <w:rsid w:val="00AC3D8B"/>
    <w:rsid w:val="00AC456C"/>
    <w:rsid w:val="00AC683B"/>
    <w:rsid w:val="00AD14EB"/>
    <w:rsid w:val="00AD18B3"/>
    <w:rsid w:val="00AD21A4"/>
    <w:rsid w:val="00AD3E10"/>
    <w:rsid w:val="00AD6657"/>
    <w:rsid w:val="00AE0CA7"/>
    <w:rsid w:val="00AE5C79"/>
    <w:rsid w:val="00AE61D8"/>
    <w:rsid w:val="00AE7146"/>
    <w:rsid w:val="00AF2CE7"/>
    <w:rsid w:val="00AF5B60"/>
    <w:rsid w:val="00AF5E1A"/>
    <w:rsid w:val="00AF5FB9"/>
    <w:rsid w:val="00AF615B"/>
    <w:rsid w:val="00B00BDB"/>
    <w:rsid w:val="00B02D5D"/>
    <w:rsid w:val="00B06354"/>
    <w:rsid w:val="00B07616"/>
    <w:rsid w:val="00B07D10"/>
    <w:rsid w:val="00B13B2F"/>
    <w:rsid w:val="00B16A67"/>
    <w:rsid w:val="00B17E0A"/>
    <w:rsid w:val="00B20431"/>
    <w:rsid w:val="00B2046F"/>
    <w:rsid w:val="00B21FC7"/>
    <w:rsid w:val="00B22932"/>
    <w:rsid w:val="00B2350A"/>
    <w:rsid w:val="00B31BA8"/>
    <w:rsid w:val="00B31C27"/>
    <w:rsid w:val="00B34E02"/>
    <w:rsid w:val="00B35471"/>
    <w:rsid w:val="00B36FD1"/>
    <w:rsid w:val="00B372A9"/>
    <w:rsid w:val="00B37D11"/>
    <w:rsid w:val="00B40B82"/>
    <w:rsid w:val="00B411FC"/>
    <w:rsid w:val="00B41F94"/>
    <w:rsid w:val="00B4592B"/>
    <w:rsid w:val="00B469AD"/>
    <w:rsid w:val="00B47023"/>
    <w:rsid w:val="00B47502"/>
    <w:rsid w:val="00B4764D"/>
    <w:rsid w:val="00B47AFF"/>
    <w:rsid w:val="00B51105"/>
    <w:rsid w:val="00B51A73"/>
    <w:rsid w:val="00B52C8F"/>
    <w:rsid w:val="00B55008"/>
    <w:rsid w:val="00B55961"/>
    <w:rsid w:val="00B573C2"/>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D5A"/>
    <w:rsid w:val="00BA0EDB"/>
    <w:rsid w:val="00BA2CAF"/>
    <w:rsid w:val="00BA38BB"/>
    <w:rsid w:val="00BA485F"/>
    <w:rsid w:val="00BA5679"/>
    <w:rsid w:val="00BA6773"/>
    <w:rsid w:val="00BA69CF"/>
    <w:rsid w:val="00BA705B"/>
    <w:rsid w:val="00BB059A"/>
    <w:rsid w:val="00BB35C6"/>
    <w:rsid w:val="00BB483F"/>
    <w:rsid w:val="00BB7FCC"/>
    <w:rsid w:val="00BC02E5"/>
    <w:rsid w:val="00BC0C9E"/>
    <w:rsid w:val="00BC0E60"/>
    <w:rsid w:val="00BC26A5"/>
    <w:rsid w:val="00BC69FA"/>
    <w:rsid w:val="00BD0F5F"/>
    <w:rsid w:val="00BD55E1"/>
    <w:rsid w:val="00BD65F1"/>
    <w:rsid w:val="00BD73F3"/>
    <w:rsid w:val="00BD7E60"/>
    <w:rsid w:val="00BE004C"/>
    <w:rsid w:val="00BE08A1"/>
    <w:rsid w:val="00BE1517"/>
    <w:rsid w:val="00BE18BA"/>
    <w:rsid w:val="00BF311F"/>
    <w:rsid w:val="00BF4592"/>
    <w:rsid w:val="00BF5749"/>
    <w:rsid w:val="00BF6238"/>
    <w:rsid w:val="00BF679E"/>
    <w:rsid w:val="00BF726A"/>
    <w:rsid w:val="00C0016F"/>
    <w:rsid w:val="00C01A47"/>
    <w:rsid w:val="00C04C3A"/>
    <w:rsid w:val="00C05153"/>
    <w:rsid w:val="00C12218"/>
    <w:rsid w:val="00C12DBB"/>
    <w:rsid w:val="00C1759F"/>
    <w:rsid w:val="00C20A4B"/>
    <w:rsid w:val="00C22642"/>
    <w:rsid w:val="00C249E0"/>
    <w:rsid w:val="00C2501E"/>
    <w:rsid w:val="00C25C6B"/>
    <w:rsid w:val="00C25E8B"/>
    <w:rsid w:val="00C3043F"/>
    <w:rsid w:val="00C315CF"/>
    <w:rsid w:val="00C43226"/>
    <w:rsid w:val="00C43564"/>
    <w:rsid w:val="00C43737"/>
    <w:rsid w:val="00C44013"/>
    <w:rsid w:val="00C44AE8"/>
    <w:rsid w:val="00C453BD"/>
    <w:rsid w:val="00C45C81"/>
    <w:rsid w:val="00C46EFA"/>
    <w:rsid w:val="00C4788B"/>
    <w:rsid w:val="00C47ACB"/>
    <w:rsid w:val="00C51C56"/>
    <w:rsid w:val="00C60104"/>
    <w:rsid w:val="00C6205F"/>
    <w:rsid w:val="00C6285A"/>
    <w:rsid w:val="00C62E7B"/>
    <w:rsid w:val="00C70311"/>
    <w:rsid w:val="00C71B8A"/>
    <w:rsid w:val="00C73043"/>
    <w:rsid w:val="00C73FE1"/>
    <w:rsid w:val="00C8067F"/>
    <w:rsid w:val="00C837A2"/>
    <w:rsid w:val="00C9001B"/>
    <w:rsid w:val="00C91263"/>
    <w:rsid w:val="00C914B3"/>
    <w:rsid w:val="00C928A5"/>
    <w:rsid w:val="00C93A53"/>
    <w:rsid w:val="00C94AF5"/>
    <w:rsid w:val="00C95320"/>
    <w:rsid w:val="00C97D79"/>
    <w:rsid w:val="00CA0ECB"/>
    <w:rsid w:val="00CA3D06"/>
    <w:rsid w:val="00CB2916"/>
    <w:rsid w:val="00CB514F"/>
    <w:rsid w:val="00CC3D21"/>
    <w:rsid w:val="00CC6C00"/>
    <w:rsid w:val="00CD0021"/>
    <w:rsid w:val="00CD0BD7"/>
    <w:rsid w:val="00CD4538"/>
    <w:rsid w:val="00CD4546"/>
    <w:rsid w:val="00CD5552"/>
    <w:rsid w:val="00CD6C75"/>
    <w:rsid w:val="00CE223C"/>
    <w:rsid w:val="00CE3A74"/>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CC3"/>
    <w:rsid w:val="00D073CB"/>
    <w:rsid w:val="00D131EF"/>
    <w:rsid w:val="00D13706"/>
    <w:rsid w:val="00D13E74"/>
    <w:rsid w:val="00D206DA"/>
    <w:rsid w:val="00D215FB"/>
    <w:rsid w:val="00D24964"/>
    <w:rsid w:val="00D24BC7"/>
    <w:rsid w:val="00D25562"/>
    <w:rsid w:val="00D26B52"/>
    <w:rsid w:val="00D278ED"/>
    <w:rsid w:val="00D27BF1"/>
    <w:rsid w:val="00D30140"/>
    <w:rsid w:val="00D31FB1"/>
    <w:rsid w:val="00D325F3"/>
    <w:rsid w:val="00D359F7"/>
    <w:rsid w:val="00D36BCC"/>
    <w:rsid w:val="00D36EBA"/>
    <w:rsid w:val="00D40AC2"/>
    <w:rsid w:val="00D4100E"/>
    <w:rsid w:val="00D41A4E"/>
    <w:rsid w:val="00D43764"/>
    <w:rsid w:val="00D471BB"/>
    <w:rsid w:val="00D47C4D"/>
    <w:rsid w:val="00D50F46"/>
    <w:rsid w:val="00D54466"/>
    <w:rsid w:val="00D55583"/>
    <w:rsid w:val="00D57FB5"/>
    <w:rsid w:val="00D60087"/>
    <w:rsid w:val="00D60740"/>
    <w:rsid w:val="00D60A3E"/>
    <w:rsid w:val="00D63A3C"/>
    <w:rsid w:val="00D63DB1"/>
    <w:rsid w:val="00D64B05"/>
    <w:rsid w:val="00D6724D"/>
    <w:rsid w:val="00D6791A"/>
    <w:rsid w:val="00D707E2"/>
    <w:rsid w:val="00D75A83"/>
    <w:rsid w:val="00D82CFE"/>
    <w:rsid w:val="00D82FBD"/>
    <w:rsid w:val="00D8496A"/>
    <w:rsid w:val="00D853DD"/>
    <w:rsid w:val="00D87891"/>
    <w:rsid w:val="00D879B5"/>
    <w:rsid w:val="00D9163D"/>
    <w:rsid w:val="00D93670"/>
    <w:rsid w:val="00D93FCE"/>
    <w:rsid w:val="00D96B09"/>
    <w:rsid w:val="00D96C7F"/>
    <w:rsid w:val="00DA069A"/>
    <w:rsid w:val="00DA1E65"/>
    <w:rsid w:val="00DA242D"/>
    <w:rsid w:val="00DB0063"/>
    <w:rsid w:val="00DB03EE"/>
    <w:rsid w:val="00DB4696"/>
    <w:rsid w:val="00DB4DC5"/>
    <w:rsid w:val="00DB6FD9"/>
    <w:rsid w:val="00DC198D"/>
    <w:rsid w:val="00DC1E99"/>
    <w:rsid w:val="00DC4FDC"/>
    <w:rsid w:val="00DC6D2F"/>
    <w:rsid w:val="00DC72BF"/>
    <w:rsid w:val="00DC74E4"/>
    <w:rsid w:val="00DD0149"/>
    <w:rsid w:val="00DD034D"/>
    <w:rsid w:val="00DD445F"/>
    <w:rsid w:val="00DD458F"/>
    <w:rsid w:val="00DD5EEA"/>
    <w:rsid w:val="00DD6F7C"/>
    <w:rsid w:val="00DE09DF"/>
    <w:rsid w:val="00DE2420"/>
    <w:rsid w:val="00DE4A57"/>
    <w:rsid w:val="00DE7B95"/>
    <w:rsid w:val="00DF077A"/>
    <w:rsid w:val="00DF1892"/>
    <w:rsid w:val="00DF45D3"/>
    <w:rsid w:val="00DF4924"/>
    <w:rsid w:val="00E00B8B"/>
    <w:rsid w:val="00E02E86"/>
    <w:rsid w:val="00E10D75"/>
    <w:rsid w:val="00E1422C"/>
    <w:rsid w:val="00E14595"/>
    <w:rsid w:val="00E15CDF"/>
    <w:rsid w:val="00E20694"/>
    <w:rsid w:val="00E21091"/>
    <w:rsid w:val="00E213DC"/>
    <w:rsid w:val="00E21F45"/>
    <w:rsid w:val="00E260F7"/>
    <w:rsid w:val="00E27658"/>
    <w:rsid w:val="00E30663"/>
    <w:rsid w:val="00E31679"/>
    <w:rsid w:val="00E323DF"/>
    <w:rsid w:val="00E36337"/>
    <w:rsid w:val="00E44646"/>
    <w:rsid w:val="00E46F15"/>
    <w:rsid w:val="00E50599"/>
    <w:rsid w:val="00E5102D"/>
    <w:rsid w:val="00E5254C"/>
    <w:rsid w:val="00E55DE0"/>
    <w:rsid w:val="00E55F88"/>
    <w:rsid w:val="00E60F8C"/>
    <w:rsid w:val="00E72396"/>
    <w:rsid w:val="00E72EDB"/>
    <w:rsid w:val="00E76629"/>
    <w:rsid w:val="00E76F97"/>
    <w:rsid w:val="00E77091"/>
    <w:rsid w:val="00E77383"/>
    <w:rsid w:val="00E774B9"/>
    <w:rsid w:val="00E803A7"/>
    <w:rsid w:val="00E80C41"/>
    <w:rsid w:val="00E84B0C"/>
    <w:rsid w:val="00E84E35"/>
    <w:rsid w:val="00E85A69"/>
    <w:rsid w:val="00E87C24"/>
    <w:rsid w:val="00E919DF"/>
    <w:rsid w:val="00E91D8D"/>
    <w:rsid w:val="00E95C19"/>
    <w:rsid w:val="00EA0354"/>
    <w:rsid w:val="00EA19A5"/>
    <w:rsid w:val="00EA2E48"/>
    <w:rsid w:val="00EA3585"/>
    <w:rsid w:val="00EA51FD"/>
    <w:rsid w:val="00EA69A4"/>
    <w:rsid w:val="00EB05BC"/>
    <w:rsid w:val="00EB0717"/>
    <w:rsid w:val="00EB1E7B"/>
    <w:rsid w:val="00EB4862"/>
    <w:rsid w:val="00EB4F99"/>
    <w:rsid w:val="00EB6167"/>
    <w:rsid w:val="00EC2435"/>
    <w:rsid w:val="00EC60A2"/>
    <w:rsid w:val="00EC76EB"/>
    <w:rsid w:val="00EC7FD8"/>
    <w:rsid w:val="00ED0ADC"/>
    <w:rsid w:val="00ED4B90"/>
    <w:rsid w:val="00ED6091"/>
    <w:rsid w:val="00ED7231"/>
    <w:rsid w:val="00EE13D4"/>
    <w:rsid w:val="00EE1957"/>
    <w:rsid w:val="00EE2476"/>
    <w:rsid w:val="00EE32FA"/>
    <w:rsid w:val="00EE516F"/>
    <w:rsid w:val="00EF070A"/>
    <w:rsid w:val="00EF07AE"/>
    <w:rsid w:val="00EF543D"/>
    <w:rsid w:val="00EF5703"/>
    <w:rsid w:val="00EF5E13"/>
    <w:rsid w:val="00EF6293"/>
    <w:rsid w:val="00F01812"/>
    <w:rsid w:val="00F02CE4"/>
    <w:rsid w:val="00F033F0"/>
    <w:rsid w:val="00F0371A"/>
    <w:rsid w:val="00F03BBE"/>
    <w:rsid w:val="00F06D62"/>
    <w:rsid w:val="00F070EE"/>
    <w:rsid w:val="00F07CC8"/>
    <w:rsid w:val="00F117BF"/>
    <w:rsid w:val="00F1253E"/>
    <w:rsid w:val="00F14AD2"/>
    <w:rsid w:val="00F14F53"/>
    <w:rsid w:val="00F1693C"/>
    <w:rsid w:val="00F201E5"/>
    <w:rsid w:val="00F253C2"/>
    <w:rsid w:val="00F314E2"/>
    <w:rsid w:val="00F33250"/>
    <w:rsid w:val="00F333EE"/>
    <w:rsid w:val="00F342C5"/>
    <w:rsid w:val="00F35083"/>
    <w:rsid w:val="00F3520B"/>
    <w:rsid w:val="00F356C3"/>
    <w:rsid w:val="00F36455"/>
    <w:rsid w:val="00F416A3"/>
    <w:rsid w:val="00F41964"/>
    <w:rsid w:val="00F41EE4"/>
    <w:rsid w:val="00F4449B"/>
    <w:rsid w:val="00F44FF9"/>
    <w:rsid w:val="00F519B3"/>
    <w:rsid w:val="00F52239"/>
    <w:rsid w:val="00F558F2"/>
    <w:rsid w:val="00F56CEA"/>
    <w:rsid w:val="00F6073C"/>
    <w:rsid w:val="00F60976"/>
    <w:rsid w:val="00F6216E"/>
    <w:rsid w:val="00F62BE7"/>
    <w:rsid w:val="00F63D29"/>
    <w:rsid w:val="00F66FD5"/>
    <w:rsid w:val="00F67D52"/>
    <w:rsid w:val="00F70102"/>
    <w:rsid w:val="00F71CE0"/>
    <w:rsid w:val="00F71F5E"/>
    <w:rsid w:val="00F732B6"/>
    <w:rsid w:val="00F7392C"/>
    <w:rsid w:val="00F74CE0"/>
    <w:rsid w:val="00F75228"/>
    <w:rsid w:val="00F77CFD"/>
    <w:rsid w:val="00F83CA8"/>
    <w:rsid w:val="00F83DC3"/>
    <w:rsid w:val="00F850B0"/>
    <w:rsid w:val="00F86D8E"/>
    <w:rsid w:val="00F9251D"/>
    <w:rsid w:val="00F92D14"/>
    <w:rsid w:val="00F93F65"/>
    <w:rsid w:val="00F95511"/>
    <w:rsid w:val="00F9578C"/>
    <w:rsid w:val="00F96CE2"/>
    <w:rsid w:val="00FA16D5"/>
    <w:rsid w:val="00FA2DCE"/>
    <w:rsid w:val="00FA681F"/>
    <w:rsid w:val="00FA6FEF"/>
    <w:rsid w:val="00FC2262"/>
    <w:rsid w:val="00FC2DC4"/>
    <w:rsid w:val="00FC3D76"/>
    <w:rsid w:val="00FC464E"/>
    <w:rsid w:val="00FC5481"/>
    <w:rsid w:val="00FC6671"/>
    <w:rsid w:val="00FD0776"/>
    <w:rsid w:val="00FD0A36"/>
    <w:rsid w:val="00FD146B"/>
    <w:rsid w:val="00FD220B"/>
    <w:rsid w:val="00FD3166"/>
    <w:rsid w:val="00FD3DDA"/>
    <w:rsid w:val="00FD4379"/>
    <w:rsid w:val="00FD6B76"/>
    <w:rsid w:val="00FE0538"/>
    <w:rsid w:val="00FE08C7"/>
    <w:rsid w:val="00FE0E48"/>
    <w:rsid w:val="00FE0F5C"/>
    <w:rsid w:val="00FE1DA6"/>
    <w:rsid w:val="00FE545F"/>
    <w:rsid w:val="00FE6F96"/>
    <w:rsid w:val="00FE7AC7"/>
    <w:rsid w:val="00FF06DB"/>
    <w:rsid w:val="00FF0C09"/>
    <w:rsid w:val="00FF1400"/>
    <w:rsid w:val="00FF1B3A"/>
    <w:rsid w:val="00FF2928"/>
    <w:rsid w:val="00FF3945"/>
    <w:rsid w:val="00FF7C23"/>
    <w:rsid w:val="00FF7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21031C"/>
    <w:pPr>
      <w:numPr>
        <w:numId w:val="16"/>
      </w:numPr>
      <w:spacing w:after="120" w:line="240" w:lineRule="atLeast"/>
      <w:jc w:val="both"/>
    </w:pPr>
    <w:rPr>
      <w:rFonts w:ascii="Times New Roman" w:eastAsia="MS Mincho" w:hAnsi="Times New Roman"/>
      <w:noProof/>
      <w:sz w:val="20"/>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numPr>
        <w:numId w:val="21"/>
      </w:numPr>
      <w:overflowPunct/>
      <w:autoSpaceDE/>
      <w:autoSpaceDN/>
      <w:adjustRightInd/>
      <w:spacing w:after="200" w:line="276" w:lineRule="auto"/>
      <w:contextualSpacing/>
      <w:jc w:val="left"/>
      <w:textAlignment w:val="auto"/>
    </w:pPr>
    <w:rPr>
      <w:rFonts w:ascii="Calibri" w:eastAsia="Calibri" w:hAnsi="Calibri" w:cs="Arial"/>
      <w:sz w:val="22"/>
      <w:szCs w:val="22"/>
      <w:lang w:eastAsia="en-US"/>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overflowPunct/>
      <w:adjustRightInd/>
      <w:spacing w:after="120" w:line="240" w:lineRule="auto"/>
      <w:jc w:val="left"/>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semiHidden/>
    <w:unhideWhenUsed/>
    <w:rsid w:val="00E55F88"/>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styleId="Strong">
    <w:name w:val="Strong"/>
    <w:basedOn w:val="DefaultParagraphFont"/>
    <w:uiPriority w:val="22"/>
    <w:qFormat/>
    <w:rsid w:val="00FE6F96"/>
    <w:rPr>
      <w:b/>
      <w:bCs/>
    </w:rPr>
  </w:style>
  <w:style w:type="paragraph" w:customStyle="1" w:styleId="hz">
    <w:name w:val="hz"/>
    <w:basedOn w:val="Normal"/>
    <w:rsid w:val="001B44A7"/>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hyperlink" Target="https://doi.org/10.1109/29.106877" TargetMode="External"/><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hyperlink" Target="https://neureka-challenge.com/" TargetMode="Externa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springerpub.com/handbook-for-clinical-research-9781936287543.html"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TotalTime>
  <Pages>34</Pages>
  <Words>12241</Words>
  <Characters>68187</Characters>
  <Application>Microsoft Office Word</Application>
  <DocSecurity>0</DocSecurity>
  <Lines>1117</Lines>
  <Paragraphs>258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Heidelberg, Germany</Company>
  <LinksUpToDate>false</LinksUpToDate>
  <CharactersWithSpaces>80170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3</cp:revision>
  <cp:lastPrinted>2020-09-30T02:45:00Z</cp:lastPrinted>
  <dcterms:created xsi:type="dcterms:W3CDTF">2020-09-30T05:11:00Z</dcterms:created>
  <dcterms:modified xsi:type="dcterms:W3CDTF">2020-09-30T05:11:00Z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October 1, 2020</vt:lpwstr>
  </property>
  <property fmtid="{D5CDD505-2E9C-101B-9397-08002B2CF9AE}" pid="3" name="DocumentVersion">
    <vt:lpwstr>v2.0</vt:lpwstr>
  </property>
</Properties>
</file>