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DA12B" w14:textId="736882A4" w:rsidR="0088223B" w:rsidRPr="005F76FC" w:rsidRDefault="0088223B" w:rsidP="00052AC4">
      <w:pPr>
        <w:tabs>
          <w:tab w:val="left" w:pos="2385"/>
        </w:tabs>
        <w:spacing w:after="240" w:line="240" w:lineRule="auto"/>
        <w:jc w:val="center"/>
        <w:rPr>
          <w:rFonts w:ascii="Times New Roman" w:hAnsi="Times New Roman" w:cs="Times New Roman"/>
          <w:b/>
        </w:rPr>
      </w:pPr>
      <w:r w:rsidRPr="005F76FC">
        <w:rPr>
          <w:rFonts w:ascii="Times New Roman" w:hAnsi="Times New Roman" w:cs="Times New Roman"/>
          <w:b/>
        </w:rPr>
        <w:t>T</w:t>
      </w:r>
      <w:bookmarkStart w:id="0" w:name="_Ref498282994"/>
      <w:bookmarkStart w:id="1" w:name="_Ref498283032"/>
      <w:bookmarkStart w:id="2" w:name="_Ref498283060"/>
      <w:bookmarkStart w:id="3" w:name="_Ref498452929"/>
      <w:bookmarkStart w:id="4" w:name="_Ref498453435"/>
      <w:bookmarkStart w:id="5" w:name="_Ref498453969"/>
      <w:bookmarkStart w:id="6" w:name="_Ref498454496"/>
      <w:bookmarkStart w:id="7" w:name="_Ref498454881"/>
      <w:bookmarkEnd w:id="0"/>
      <w:bookmarkEnd w:id="1"/>
      <w:bookmarkEnd w:id="2"/>
      <w:bookmarkEnd w:id="3"/>
      <w:bookmarkEnd w:id="4"/>
      <w:bookmarkEnd w:id="5"/>
      <w:bookmarkEnd w:id="6"/>
      <w:bookmarkEnd w:id="7"/>
      <w:r w:rsidRPr="005F76FC">
        <w:rPr>
          <w:rFonts w:ascii="Times New Roman" w:hAnsi="Times New Roman" w:cs="Times New Roman"/>
          <w:b/>
        </w:rPr>
        <w:t>he Neuronix HPC Cluster:</w:t>
      </w:r>
      <w:r w:rsidR="005F76FC">
        <w:rPr>
          <w:rFonts w:ascii="Times New Roman" w:hAnsi="Times New Roman" w:cs="Times New Roman"/>
          <w:b/>
        </w:rPr>
        <w:br/>
        <w:t xml:space="preserve">Cluster Management Using </w:t>
      </w:r>
      <w:r w:rsidR="002B09C3">
        <w:rPr>
          <w:rFonts w:ascii="Times New Roman" w:hAnsi="Times New Roman" w:cs="Times New Roman"/>
          <w:b/>
        </w:rPr>
        <w:t>Free and Open Source Software Tools</w:t>
      </w:r>
      <w:r w:rsidR="006A20AB" w:rsidRPr="006A20AB">
        <w:rPr>
          <w:rFonts w:ascii="Times New Roman" w:hAnsi="Times New Roman" w:cs="Times New Roman"/>
          <w:b/>
          <w:vertAlign w:val="superscript"/>
        </w:rPr>
        <w:t>1</w:t>
      </w:r>
    </w:p>
    <w:p w14:paraId="6A0CCB74" w14:textId="77777777" w:rsidR="00E14C97" w:rsidRPr="00D70331" w:rsidRDefault="00E14C97" w:rsidP="00052AC4">
      <w:pPr>
        <w:spacing w:after="240" w:line="240" w:lineRule="auto"/>
        <w:jc w:val="center"/>
        <w:rPr>
          <w:rFonts w:ascii="Times New Roman" w:eastAsia="Times New Roman" w:hAnsi="Times New Roman" w:cs="Times New Roman"/>
          <w:i/>
        </w:rPr>
      </w:pPr>
      <w:r w:rsidRPr="00D70331">
        <w:rPr>
          <w:rFonts w:ascii="Times New Roman" w:eastAsia="Times New Roman" w:hAnsi="Times New Roman" w:cs="Times New Roman"/>
          <w:i/>
        </w:rPr>
        <w:t>C. Campbell, N. Mecca, I. Obeid and J. Picone</w:t>
      </w:r>
    </w:p>
    <w:p w14:paraId="22E79B27" w14:textId="1264C3D4" w:rsidR="00E14C97" w:rsidRPr="005F76FC" w:rsidRDefault="00E14C97" w:rsidP="00052AC4">
      <w:pPr>
        <w:pStyle w:val="NormalWeb"/>
        <w:shd w:val="clear" w:color="auto" w:fill="FFFFFF"/>
        <w:tabs>
          <w:tab w:val="center" w:pos="7470"/>
        </w:tabs>
        <w:spacing w:before="0" w:beforeAutospacing="0" w:after="0" w:afterAutospacing="0"/>
        <w:jc w:val="center"/>
        <w:textAlignment w:val="baseline"/>
        <w:rPr>
          <w:rFonts w:eastAsia="Times New Roman"/>
          <w:sz w:val="22"/>
          <w:szCs w:val="22"/>
        </w:rPr>
      </w:pPr>
      <w:r w:rsidRPr="005F76FC">
        <w:rPr>
          <w:rFonts w:eastAsia="Times New Roman"/>
          <w:sz w:val="22"/>
          <w:szCs w:val="22"/>
        </w:rPr>
        <w:t>The Neural Engineering Data Consortium</w:t>
      </w:r>
      <w:r w:rsidR="00D70331">
        <w:rPr>
          <w:rFonts w:eastAsia="Times New Roman"/>
          <w:sz w:val="22"/>
          <w:szCs w:val="22"/>
        </w:rPr>
        <w:t xml:space="preserve">, </w:t>
      </w:r>
      <w:r w:rsidRPr="005F76FC">
        <w:rPr>
          <w:rFonts w:eastAsia="Times New Roman"/>
          <w:sz w:val="22"/>
          <w:szCs w:val="22"/>
        </w:rPr>
        <w:t>Temple University</w:t>
      </w:r>
    </w:p>
    <w:p w14:paraId="2A37DE04" w14:textId="6BAAC384" w:rsidR="0088223B" w:rsidRPr="005F76FC" w:rsidRDefault="005F76FC" w:rsidP="00052AC4">
      <w:pPr>
        <w:tabs>
          <w:tab w:val="left" w:pos="2385"/>
        </w:tabs>
        <w:spacing w:after="240" w:line="240" w:lineRule="auto"/>
        <w:jc w:val="center"/>
        <w:rPr>
          <w:rFonts w:ascii="Times New Roman" w:hAnsi="Times New Roman" w:cs="Times New Roman"/>
        </w:rPr>
      </w:pPr>
      <w:r>
        <w:rPr>
          <w:rFonts w:ascii="Times New Roman" w:eastAsia="Times New Roman" w:hAnsi="Times New Roman" w:cs="Times New Roman"/>
        </w:rPr>
        <w:t>{</w:t>
      </w:r>
      <w:proofErr w:type="spellStart"/>
      <w:proofErr w:type="gramStart"/>
      <w:r w:rsidR="00E14C97" w:rsidRPr="005F76FC">
        <w:rPr>
          <w:rFonts w:ascii="Times New Roman" w:eastAsia="Times New Roman" w:hAnsi="Times New Roman" w:cs="Times New Roman"/>
        </w:rPr>
        <w:t>christopher.campbel</w:t>
      </w:r>
      <w:r>
        <w:rPr>
          <w:rFonts w:ascii="Times New Roman" w:eastAsia="Times New Roman" w:hAnsi="Times New Roman" w:cs="Times New Roman"/>
        </w:rPr>
        <w:t>l</w:t>
      </w:r>
      <w:proofErr w:type="spellEnd"/>
      <w:proofErr w:type="gramEnd"/>
      <w:r w:rsidR="00E14C97" w:rsidRPr="005F76FC">
        <w:rPr>
          <w:rFonts w:ascii="Times New Roman" w:eastAsia="Times New Roman" w:hAnsi="Times New Roman" w:cs="Times New Roman"/>
        </w:rPr>
        <w:t xml:space="preserve">, </w:t>
      </w:r>
      <w:r w:rsidR="00E14C97" w:rsidRPr="005F76FC">
        <w:rPr>
          <w:rStyle w:val="go"/>
          <w:rFonts w:ascii="Times New Roman" w:hAnsi="Times New Roman" w:cs="Times New Roman"/>
        </w:rPr>
        <w:t>tuf89560</w:t>
      </w:r>
      <w:r>
        <w:rPr>
          <w:rStyle w:val="go"/>
          <w:rFonts w:ascii="Times New Roman" w:hAnsi="Times New Roman" w:cs="Times New Roman"/>
        </w:rPr>
        <w:t xml:space="preserve">, </w:t>
      </w:r>
      <w:proofErr w:type="spellStart"/>
      <w:r w:rsidR="00E14C97" w:rsidRPr="005F76FC">
        <w:rPr>
          <w:rFonts w:ascii="Times New Roman" w:eastAsia="Times New Roman" w:hAnsi="Times New Roman" w:cs="Times New Roman"/>
        </w:rPr>
        <w:t>iobeid</w:t>
      </w:r>
      <w:proofErr w:type="spellEnd"/>
      <w:r>
        <w:rPr>
          <w:rFonts w:ascii="Times New Roman" w:eastAsia="Times New Roman" w:hAnsi="Times New Roman" w:cs="Times New Roman"/>
        </w:rPr>
        <w:t>,</w:t>
      </w:r>
      <w:r w:rsidR="00E14C97" w:rsidRPr="005F76FC">
        <w:rPr>
          <w:rFonts w:ascii="Times New Roman" w:eastAsia="Times New Roman" w:hAnsi="Times New Roman" w:cs="Times New Roman"/>
        </w:rPr>
        <w:t xml:space="preserve"> </w:t>
      </w:r>
      <w:proofErr w:type="spellStart"/>
      <w:r w:rsidR="00E14C97" w:rsidRPr="005F76FC">
        <w:rPr>
          <w:rFonts w:ascii="Times New Roman" w:eastAsia="Times New Roman" w:hAnsi="Times New Roman" w:cs="Times New Roman"/>
        </w:rPr>
        <w:t>picone</w:t>
      </w:r>
      <w:proofErr w:type="spellEnd"/>
      <w:r>
        <w:rPr>
          <w:rFonts w:ascii="Times New Roman" w:eastAsia="Times New Roman" w:hAnsi="Times New Roman" w:cs="Times New Roman"/>
        </w:rPr>
        <w:t>}</w:t>
      </w:r>
      <w:r w:rsidR="00E14C97" w:rsidRPr="005F76FC">
        <w:rPr>
          <w:rFonts w:ascii="Times New Roman" w:eastAsia="Times New Roman" w:hAnsi="Times New Roman" w:cs="Times New Roman"/>
        </w:rPr>
        <w:t>@temple.edu</w:t>
      </w:r>
    </w:p>
    <w:p w14:paraId="3C4D17CB" w14:textId="4430E67A" w:rsidR="00917A20" w:rsidRDefault="00917A20" w:rsidP="00052AC4">
      <w:pPr>
        <w:tabs>
          <w:tab w:val="left" w:pos="2385"/>
        </w:tabs>
        <w:spacing w:after="240" w:line="240" w:lineRule="auto"/>
        <w:jc w:val="both"/>
        <w:rPr>
          <w:rFonts w:ascii="Times New Roman" w:hAnsi="Times New Roman" w:cs="Times New Roman"/>
        </w:rPr>
      </w:pPr>
      <w:r w:rsidRPr="005F76FC">
        <w:rPr>
          <w:rFonts w:ascii="Times New Roman" w:hAnsi="Times New Roman" w:cs="Times New Roman"/>
        </w:rPr>
        <w:t xml:space="preserve">One of the most notable </w:t>
      </w:r>
      <w:r w:rsidR="005F76FC">
        <w:rPr>
          <w:rFonts w:ascii="Times New Roman" w:hAnsi="Times New Roman" w:cs="Times New Roman"/>
        </w:rPr>
        <w:t xml:space="preserve">impacts </w:t>
      </w:r>
      <w:r w:rsidRPr="005F76FC">
        <w:rPr>
          <w:rFonts w:ascii="Times New Roman" w:hAnsi="Times New Roman" w:cs="Times New Roman"/>
        </w:rPr>
        <w:t xml:space="preserve">of </w:t>
      </w:r>
      <w:r w:rsidR="005F76FC">
        <w:rPr>
          <w:rFonts w:ascii="Times New Roman" w:hAnsi="Times New Roman" w:cs="Times New Roman"/>
        </w:rPr>
        <w:t xml:space="preserve">computing </w:t>
      </w:r>
      <w:r w:rsidRPr="005F76FC">
        <w:rPr>
          <w:rFonts w:ascii="Times New Roman" w:hAnsi="Times New Roman" w:cs="Times New Roman"/>
        </w:rPr>
        <w:t>advancements o</w:t>
      </w:r>
      <w:r w:rsidR="00322C53">
        <w:rPr>
          <w:rFonts w:ascii="Times New Roman" w:hAnsi="Times New Roman" w:cs="Times New Roman"/>
        </w:rPr>
        <w:t>ver</w:t>
      </w:r>
      <w:r w:rsidRPr="005F76FC">
        <w:rPr>
          <w:rFonts w:ascii="Times New Roman" w:hAnsi="Times New Roman" w:cs="Times New Roman"/>
        </w:rPr>
        <w:t xml:space="preserve"> the last few decades has been the decentra</w:t>
      </w:r>
      <w:r w:rsidR="00F30EEC" w:rsidRPr="005F76FC">
        <w:rPr>
          <w:rFonts w:ascii="Times New Roman" w:hAnsi="Times New Roman" w:cs="Times New Roman"/>
        </w:rPr>
        <w:t>l</w:t>
      </w:r>
      <w:r w:rsidR="006B231E" w:rsidRPr="005F76FC">
        <w:rPr>
          <w:rFonts w:ascii="Times New Roman" w:hAnsi="Times New Roman" w:cs="Times New Roman"/>
        </w:rPr>
        <w:t>ization of</w:t>
      </w:r>
      <w:r w:rsidR="005F76FC">
        <w:rPr>
          <w:rFonts w:ascii="Times New Roman" w:hAnsi="Times New Roman" w:cs="Times New Roman"/>
        </w:rPr>
        <w:t xml:space="preserve"> </w:t>
      </w:r>
      <w:r w:rsidR="006B231E" w:rsidRPr="005F76FC">
        <w:rPr>
          <w:rFonts w:ascii="Times New Roman" w:hAnsi="Times New Roman" w:cs="Times New Roman"/>
        </w:rPr>
        <w:t>resources</w:t>
      </w:r>
      <w:r w:rsidR="00F12CAF">
        <w:rPr>
          <w:rFonts w:ascii="Times New Roman" w:hAnsi="Times New Roman" w:cs="Times New Roman"/>
        </w:rPr>
        <w:t>. A</w:t>
      </w:r>
      <w:r w:rsidR="006B231E" w:rsidRPr="005F76FC">
        <w:rPr>
          <w:rFonts w:ascii="Times New Roman" w:hAnsi="Times New Roman" w:cs="Times New Roman"/>
        </w:rPr>
        <w:t xml:space="preserve">s the cost of computer hardware continues to decrease, significant computational power </w:t>
      </w:r>
      <w:r w:rsidR="00F12CAF">
        <w:rPr>
          <w:rFonts w:ascii="Times New Roman" w:hAnsi="Times New Roman" w:cs="Times New Roman"/>
        </w:rPr>
        <w:t>continues</w:t>
      </w:r>
      <w:r w:rsidR="006B231E" w:rsidRPr="005F76FC">
        <w:rPr>
          <w:rFonts w:ascii="Times New Roman" w:hAnsi="Times New Roman" w:cs="Times New Roman"/>
        </w:rPr>
        <w:t xml:space="preserve"> to become more accessible</w:t>
      </w:r>
      <w:r w:rsidR="00322C53">
        <w:rPr>
          <w:rFonts w:ascii="Times New Roman" w:hAnsi="Times New Roman" w:cs="Times New Roman"/>
        </w:rPr>
        <w:t xml:space="preserve"> to the consumer market</w:t>
      </w:r>
      <w:r w:rsidR="006B231E" w:rsidRPr="005F76FC">
        <w:rPr>
          <w:rFonts w:ascii="Times New Roman" w:hAnsi="Times New Roman" w:cs="Times New Roman"/>
        </w:rPr>
        <w:t>.</w:t>
      </w:r>
      <w:r w:rsidR="005F76FC">
        <w:rPr>
          <w:rFonts w:ascii="Times New Roman" w:hAnsi="Times New Roman" w:cs="Times New Roman"/>
        </w:rPr>
        <w:t xml:space="preserve"> </w:t>
      </w:r>
      <w:r w:rsidR="00F30EEC" w:rsidRPr="005F76FC">
        <w:rPr>
          <w:rFonts w:ascii="Times New Roman" w:hAnsi="Times New Roman" w:cs="Times New Roman"/>
        </w:rPr>
        <w:t xml:space="preserve">Similar to personal computing, </w:t>
      </w:r>
      <w:r w:rsidR="006B231E" w:rsidRPr="005F76FC">
        <w:rPr>
          <w:rFonts w:ascii="Times New Roman" w:hAnsi="Times New Roman" w:cs="Times New Roman"/>
        </w:rPr>
        <w:t xml:space="preserve">this phenomenon has also enabled the growth of </w:t>
      </w:r>
      <w:r w:rsidR="005F76FC">
        <w:rPr>
          <w:rFonts w:ascii="Times New Roman" w:hAnsi="Times New Roman" w:cs="Times New Roman"/>
        </w:rPr>
        <w:t xml:space="preserve">low-cost </w:t>
      </w:r>
      <w:r w:rsidR="00062209">
        <w:rPr>
          <w:rFonts w:ascii="Times New Roman" w:hAnsi="Times New Roman" w:cs="Times New Roman"/>
        </w:rPr>
        <w:t>h</w:t>
      </w:r>
      <w:r w:rsidR="00062209" w:rsidRPr="005F76FC">
        <w:rPr>
          <w:rFonts w:ascii="Times New Roman" w:hAnsi="Times New Roman" w:cs="Times New Roman"/>
        </w:rPr>
        <w:t>igh</w:t>
      </w:r>
      <w:r w:rsidR="00062209">
        <w:rPr>
          <w:rFonts w:ascii="Times New Roman" w:hAnsi="Times New Roman" w:cs="Times New Roman"/>
        </w:rPr>
        <w:t>-performance</w:t>
      </w:r>
      <w:r w:rsidR="006B231E" w:rsidRPr="005F76FC">
        <w:rPr>
          <w:rFonts w:ascii="Times New Roman" w:hAnsi="Times New Roman" w:cs="Times New Roman"/>
        </w:rPr>
        <w:t xml:space="preserve"> </w:t>
      </w:r>
      <w:r w:rsidR="007861F9">
        <w:rPr>
          <w:rFonts w:ascii="Times New Roman" w:hAnsi="Times New Roman" w:cs="Times New Roman"/>
        </w:rPr>
        <w:t>c</w:t>
      </w:r>
      <w:r w:rsidR="006B231E" w:rsidRPr="005F76FC">
        <w:rPr>
          <w:rFonts w:ascii="Times New Roman" w:hAnsi="Times New Roman" w:cs="Times New Roman"/>
        </w:rPr>
        <w:t>omputing</w:t>
      </w:r>
      <w:r w:rsidR="00E42210" w:rsidRPr="005F76FC">
        <w:rPr>
          <w:rFonts w:ascii="Times New Roman" w:hAnsi="Times New Roman" w:cs="Times New Roman"/>
        </w:rPr>
        <w:t xml:space="preserve"> (HPC)</w:t>
      </w:r>
      <w:r w:rsidR="005F76FC">
        <w:rPr>
          <w:rFonts w:ascii="Times New Roman" w:hAnsi="Times New Roman" w:cs="Times New Roman"/>
        </w:rPr>
        <w:t xml:space="preserve"> (e.g., desktop supercomputers)</w:t>
      </w:r>
      <w:r w:rsidR="006B231E" w:rsidRPr="005F76FC">
        <w:rPr>
          <w:rFonts w:ascii="Times New Roman" w:hAnsi="Times New Roman" w:cs="Times New Roman"/>
        </w:rPr>
        <w:t>.</w:t>
      </w:r>
      <w:r w:rsidR="005F76FC">
        <w:rPr>
          <w:rFonts w:ascii="Times New Roman" w:hAnsi="Times New Roman" w:cs="Times New Roman"/>
        </w:rPr>
        <w:t xml:space="preserve"> </w:t>
      </w:r>
      <w:r w:rsidR="006B231E" w:rsidRPr="005F76FC">
        <w:rPr>
          <w:rFonts w:ascii="Times New Roman" w:hAnsi="Times New Roman" w:cs="Times New Roman"/>
        </w:rPr>
        <w:t xml:space="preserve">Combined with advances in computational statistics and machine learning, </w:t>
      </w:r>
      <w:r w:rsidR="00F12CAF">
        <w:rPr>
          <w:rFonts w:ascii="Times New Roman" w:hAnsi="Times New Roman" w:cs="Times New Roman"/>
        </w:rPr>
        <w:t>HPC systems can now accommodate computationally expensive research</w:t>
      </w:r>
      <w:r w:rsidR="00E42210" w:rsidRPr="005F76FC">
        <w:rPr>
          <w:rFonts w:ascii="Times New Roman" w:hAnsi="Times New Roman" w:cs="Times New Roman"/>
        </w:rPr>
        <w:t xml:space="preserve"> using consumer-grade hardware</w:t>
      </w:r>
      <w:r w:rsidR="00741126">
        <w:rPr>
          <w:rFonts w:ascii="Times New Roman" w:hAnsi="Times New Roman" w:cs="Times New Roman"/>
        </w:rPr>
        <w:t>.</w:t>
      </w:r>
    </w:p>
    <w:p w14:paraId="576BCC0C" w14:textId="3A22FFA5" w:rsidR="00741126" w:rsidRDefault="00741126" w:rsidP="00052AC4">
      <w:pPr>
        <w:tabs>
          <w:tab w:val="left" w:pos="2385"/>
        </w:tabs>
        <w:spacing w:after="240" w:line="240" w:lineRule="auto"/>
        <w:jc w:val="both"/>
        <w:rPr>
          <w:rFonts w:ascii="Times New Roman" w:hAnsi="Times New Roman" w:cs="Times New Roman"/>
        </w:rPr>
      </w:pPr>
      <w:r>
        <w:rPr>
          <w:rFonts w:ascii="Times New Roman" w:hAnsi="Times New Roman" w:cs="Times New Roman"/>
        </w:rPr>
        <w:t>Graphic Processing Unit</w:t>
      </w:r>
      <w:r w:rsidR="009C62DA">
        <w:rPr>
          <w:rFonts w:ascii="Times New Roman" w:hAnsi="Times New Roman" w:cs="Times New Roman"/>
        </w:rPr>
        <w:t xml:space="preserve">s (GPUs) have become an integral part of </w:t>
      </w:r>
      <w:r w:rsidR="00D25C1B">
        <w:rPr>
          <w:rFonts w:ascii="Times New Roman" w:hAnsi="Times New Roman" w:cs="Times New Roman"/>
        </w:rPr>
        <w:t>today’s</w:t>
      </w:r>
      <w:r w:rsidR="009C62DA">
        <w:rPr>
          <w:rFonts w:ascii="Times New Roman" w:hAnsi="Times New Roman" w:cs="Times New Roman"/>
        </w:rPr>
        <w:t xml:space="preserve"> hi</w:t>
      </w:r>
      <w:r w:rsidR="00FF56A8">
        <w:rPr>
          <w:rFonts w:ascii="Times New Roman" w:hAnsi="Times New Roman" w:cs="Times New Roman"/>
        </w:rPr>
        <w:t>g</w:t>
      </w:r>
      <w:r w:rsidR="00BD424C">
        <w:rPr>
          <w:rFonts w:ascii="Times New Roman" w:hAnsi="Times New Roman" w:cs="Times New Roman"/>
        </w:rPr>
        <w:t xml:space="preserve">h-performance compute cluster </w:t>
      </w:r>
      <w:r w:rsidR="000F727E">
        <w:rPr>
          <w:rFonts w:ascii="Times New Roman" w:hAnsi="Times New Roman" w:cs="Times New Roman"/>
        </w:rPr>
        <w:fldChar w:fldCharType="begin"/>
      </w:r>
      <w:r w:rsidR="000F727E">
        <w:rPr>
          <w:rFonts w:ascii="Times New Roman" w:hAnsi="Times New Roman" w:cs="Times New Roman"/>
        </w:rPr>
        <w:instrText xml:space="preserve"> REF _Ref498452930 \n </w:instrText>
      </w:r>
      <w:r w:rsidR="000F727E">
        <w:rPr>
          <w:rFonts w:ascii="Times New Roman" w:hAnsi="Times New Roman" w:cs="Times New Roman"/>
        </w:rPr>
        <w:fldChar w:fldCharType="separate"/>
      </w:r>
      <w:r w:rsidR="006450B2">
        <w:rPr>
          <w:rFonts w:ascii="Times New Roman" w:hAnsi="Times New Roman" w:cs="Times New Roman"/>
        </w:rPr>
        <w:t>[1]</w:t>
      </w:r>
      <w:r w:rsidR="000F727E">
        <w:rPr>
          <w:rFonts w:ascii="Times New Roman" w:hAnsi="Times New Roman" w:cs="Times New Roman"/>
        </w:rPr>
        <w:fldChar w:fldCharType="end"/>
      </w:r>
      <w:r w:rsidR="006450B2">
        <w:rPr>
          <w:rFonts w:ascii="Times New Roman" w:hAnsi="Times New Roman" w:cs="Times New Roman"/>
        </w:rPr>
        <w:fldChar w:fldCharType="begin"/>
      </w:r>
      <w:r w:rsidR="006450B2">
        <w:rPr>
          <w:rFonts w:ascii="Times New Roman" w:hAnsi="Times New Roman" w:cs="Times New Roman"/>
        </w:rPr>
        <w:instrText xml:space="preserve"> REF _Ref498454567 \n </w:instrText>
      </w:r>
      <w:r w:rsidR="006450B2">
        <w:rPr>
          <w:rFonts w:ascii="Times New Roman" w:hAnsi="Times New Roman" w:cs="Times New Roman"/>
        </w:rPr>
        <w:fldChar w:fldCharType="separate"/>
      </w:r>
      <w:r w:rsidR="006450B2">
        <w:rPr>
          <w:rFonts w:ascii="Times New Roman" w:hAnsi="Times New Roman" w:cs="Times New Roman"/>
        </w:rPr>
        <w:t>[2]</w:t>
      </w:r>
      <w:r w:rsidR="006450B2">
        <w:rPr>
          <w:rFonts w:ascii="Times New Roman" w:hAnsi="Times New Roman" w:cs="Times New Roman"/>
        </w:rPr>
        <w:fldChar w:fldCharType="end"/>
      </w:r>
      <w:r w:rsidR="00FF56A8">
        <w:rPr>
          <w:rFonts w:ascii="Times New Roman" w:hAnsi="Times New Roman" w:cs="Times New Roman"/>
        </w:rPr>
        <w:t xml:space="preserve">. </w:t>
      </w:r>
      <w:r w:rsidR="007F5953">
        <w:rPr>
          <w:rFonts w:ascii="Times New Roman" w:hAnsi="Times New Roman" w:cs="Times New Roman"/>
        </w:rPr>
        <w:t>GPUs are absolutely critical now to a new generation of big data mac</w:t>
      </w:r>
      <w:r w:rsidR="003409F0">
        <w:rPr>
          <w:rFonts w:ascii="Times New Roman" w:hAnsi="Times New Roman" w:cs="Times New Roman"/>
        </w:rPr>
        <w:t xml:space="preserve">hine learning systems that require massive amounts of computing to develop. </w:t>
      </w:r>
      <w:r w:rsidR="009C62DA">
        <w:rPr>
          <w:rFonts w:ascii="Times New Roman" w:hAnsi="Times New Roman" w:cs="Times New Roman"/>
        </w:rPr>
        <w:t>These chips and the software that supports them adds additional burden to cluster management.</w:t>
      </w:r>
      <w:r w:rsidR="006552B7">
        <w:rPr>
          <w:rFonts w:ascii="Times New Roman" w:hAnsi="Times New Roman" w:cs="Times New Roman"/>
        </w:rPr>
        <w:t xml:space="preserve"> Key issues include software compatibility (e.g., </w:t>
      </w:r>
      <w:proofErr w:type="spellStart"/>
      <w:r w:rsidR="00F12CAF">
        <w:rPr>
          <w:rFonts w:ascii="Times New Roman" w:hAnsi="Times New Roman" w:cs="Times New Roman"/>
        </w:rPr>
        <w:t>Nvidia’s</w:t>
      </w:r>
      <w:proofErr w:type="spellEnd"/>
      <w:r w:rsidR="00F12CAF">
        <w:rPr>
          <w:rFonts w:ascii="Times New Roman" w:hAnsi="Times New Roman" w:cs="Times New Roman"/>
        </w:rPr>
        <w:t xml:space="preserve"> </w:t>
      </w:r>
      <w:r w:rsidR="006552B7">
        <w:rPr>
          <w:rFonts w:ascii="Times New Roman" w:hAnsi="Times New Roman" w:cs="Times New Roman"/>
        </w:rPr>
        <w:t xml:space="preserve">CUDA support is problematic), </w:t>
      </w:r>
      <w:r w:rsidR="00EF3A6A">
        <w:rPr>
          <w:rFonts w:ascii="Times New Roman" w:hAnsi="Times New Roman" w:cs="Times New Roman"/>
        </w:rPr>
        <w:t xml:space="preserve">as well as </w:t>
      </w:r>
      <w:r w:rsidR="006552B7">
        <w:rPr>
          <w:rFonts w:ascii="Times New Roman" w:hAnsi="Times New Roman" w:cs="Times New Roman"/>
        </w:rPr>
        <w:t>job control (e.g., open source schedulers do not seem to adequately support nodes with multiple GPU chips) and load balancing</w:t>
      </w:r>
      <w:r w:rsidR="00EF3A6A">
        <w:rPr>
          <w:rFonts w:ascii="Times New Roman" w:hAnsi="Times New Roman" w:cs="Times New Roman"/>
        </w:rPr>
        <w:t xml:space="preserve"> by distributing computing jobs to compute nodes based on the state they report to the main node</w:t>
      </w:r>
      <w:r w:rsidR="006552B7">
        <w:rPr>
          <w:rFonts w:ascii="Times New Roman" w:hAnsi="Times New Roman" w:cs="Times New Roman"/>
        </w:rPr>
        <w:t>.</w:t>
      </w:r>
      <w:r w:rsidR="003409F0">
        <w:rPr>
          <w:rFonts w:ascii="Times New Roman" w:hAnsi="Times New Roman" w:cs="Times New Roman"/>
        </w:rPr>
        <w:t xml:space="preserve"> When there are large numbers of compute nodes in the cluster, system administration of these nodes becomes a time-consuming process. The goal of this poster presentation is to introduce researchers to cost-effective ways to manage such resources.</w:t>
      </w:r>
    </w:p>
    <w:p w14:paraId="57FD8809" w14:textId="2501C2F0" w:rsidR="002B09C3" w:rsidRPr="00D70331" w:rsidRDefault="00EF3A6A" w:rsidP="00052AC4">
      <w:pPr>
        <w:tabs>
          <w:tab w:val="left" w:pos="2385"/>
        </w:tabs>
        <w:spacing w:after="240" w:line="240" w:lineRule="auto"/>
        <w:jc w:val="both"/>
        <w:rPr>
          <w:rFonts w:ascii="Times New Roman" w:hAnsi="Times New Roman" w:cs="Times New Roman"/>
        </w:rPr>
      </w:pPr>
      <w:r>
        <w:rPr>
          <w:rFonts w:ascii="Times New Roman" w:hAnsi="Times New Roman" w:cs="Times New Roman"/>
        </w:rPr>
        <w:t>In the Neuronix</w:t>
      </w:r>
      <w:r w:rsidR="006552B7">
        <w:rPr>
          <w:rFonts w:ascii="Times New Roman" w:hAnsi="Times New Roman" w:cs="Times New Roman"/>
        </w:rPr>
        <w:t xml:space="preserve"> cluster, we manage </w:t>
      </w:r>
      <w:r w:rsidR="002B09C3" w:rsidRPr="00D70331">
        <w:rPr>
          <w:rFonts w:ascii="Times New Roman" w:hAnsi="Times New Roman" w:cs="Times New Roman"/>
        </w:rPr>
        <w:t xml:space="preserve">compute nodes </w:t>
      </w:r>
      <w:r w:rsidR="006552B7">
        <w:rPr>
          <w:rFonts w:ascii="Times New Roman" w:hAnsi="Times New Roman" w:cs="Times New Roman"/>
        </w:rPr>
        <w:t xml:space="preserve">by placing them </w:t>
      </w:r>
      <w:r w:rsidR="002B09C3" w:rsidRPr="00D70331">
        <w:rPr>
          <w:rFonts w:ascii="Times New Roman" w:hAnsi="Times New Roman" w:cs="Times New Roman"/>
        </w:rPr>
        <w:t>under the control of the main server (i.e. CPU/GPU compute nodes)</w:t>
      </w:r>
      <w:r w:rsidR="006552B7">
        <w:rPr>
          <w:rFonts w:ascii="Times New Roman" w:hAnsi="Times New Roman" w:cs="Times New Roman"/>
        </w:rPr>
        <w:t>. W</w:t>
      </w:r>
      <w:r w:rsidR="002B09C3" w:rsidRPr="00D70331">
        <w:rPr>
          <w:rFonts w:ascii="Times New Roman" w:hAnsi="Times New Roman" w:cs="Times New Roman"/>
        </w:rPr>
        <w:t>e use Warewulf</w:t>
      </w:r>
      <w:r w:rsidR="007861F9">
        <w:rPr>
          <w:rFonts w:ascii="Times New Roman" w:hAnsi="Times New Roman" w:cs="Times New Roman"/>
        </w:rPr>
        <w:t xml:space="preserve"> </w:t>
      </w:r>
      <w:r w:rsidR="00C9191A" w:rsidRPr="00C9191A">
        <w:rPr>
          <w:rFonts w:ascii="Times New Roman" w:hAnsi="Times New Roman" w:cs="Times New Roman"/>
        </w:rPr>
        <w:fldChar w:fldCharType="begin"/>
      </w:r>
      <w:r w:rsidR="00C9191A" w:rsidRPr="00C9191A">
        <w:rPr>
          <w:rFonts w:ascii="Times New Roman" w:hAnsi="Times New Roman" w:cs="Times New Roman"/>
        </w:rPr>
        <w:instrText xml:space="preserve"> REF _Ref498453436 \n </w:instrText>
      </w:r>
      <w:r w:rsidR="00C9191A">
        <w:rPr>
          <w:rFonts w:ascii="Times New Roman" w:hAnsi="Times New Roman" w:cs="Times New Roman"/>
        </w:rPr>
        <w:instrText xml:space="preserve"> \* MERGEFORMAT </w:instrText>
      </w:r>
      <w:r w:rsidR="00C9191A" w:rsidRPr="00C9191A">
        <w:rPr>
          <w:rFonts w:ascii="Times New Roman" w:hAnsi="Times New Roman" w:cs="Times New Roman"/>
        </w:rPr>
        <w:fldChar w:fldCharType="separate"/>
      </w:r>
      <w:r w:rsidR="006450B2">
        <w:rPr>
          <w:rFonts w:ascii="Times New Roman" w:hAnsi="Times New Roman" w:cs="Times New Roman"/>
        </w:rPr>
        <w:t>[3]</w:t>
      </w:r>
      <w:r w:rsidR="00C9191A" w:rsidRPr="00C9191A">
        <w:rPr>
          <w:rFonts w:ascii="Times New Roman" w:hAnsi="Times New Roman" w:cs="Times New Roman"/>
        </w:rPr>
        <w:fldChar w:fldCharType="end"/>
      </w:r>
      <w:r w:rsidR="002B09C3" w:rsidRPr="00D70331">
        <w:rPr>
          <w:rFonts w:ascii="Times New Roman" w:hAnsi="Times New Roman" w:cs="Times New Roman"/>
        </w:rPr>
        <w:t xml:space="preserve"> for operating system provisioning as well as for synchronizing important system files such as</w:t>
      </w:r>
      <w:r w:rsidR="007861F9">
        <w:rPr>
          <w:rFonts w:ascii="Times New Roman" w:hAnsi="Times New Roman" w:cs="Times New Roman"/>
        </w:rPr>
        <w:t xml:space="preserve"> the hosts and password files. </w:t>
      </w:r>
      <w:r w:rsidR="002B09C3" w:rsidRPr="00D70331">
        <w:rPr>
          <w:rFonts w:ascii="Times New Roman" w:hAnsi="Times New Roman" w:cs="Times New Roman"/>
        </w:rPr>
        <w:t xml:space="preserve">Warewulf boots the compute nodes over the network from kernel and filesystem images on the main server.  The primary advantage of this architecture is that changes can be made to one </w:t>
      </w:r>
      <w:r w:rsidR="00322C53" w:rsidRPr="00D70331">
        <w:rPr>
          <w:rFonts w:ascii="Times New Roman" w:hAnsi="Times New Roman" w:cs="Times New Roman"/>
        </w:rPr>
        <w:t>set of images</w:t>
      </w:r>
      <w:r w:rsidR="002B09C3" w:rsidRPr="00D70331">
        <w:rPr>
          <w:rFonts w:ascii="Times New Roman" w:hAnsi="Times New Roman" w:cs="Times New Roman"/>
        </w:rPr>
        <w:t xml:space="preserve"> and sent to all the nodes.  For th</w:t>
      </w:r>
      <w:r>
        <w:rPr>
          <w:rFonts w:ascii="Times New Roman" w:hAnsi="Times New Roman" w:cs="Times New Roman"/>
        </w:rPr>
        <w:t xml:space="preserve">e </w:t>
      </w:r>
      <w:r w:rsidR="002B09C3" w:rsidRPr="00D70331">
        <w:rPr>
          <w:rFonts w:ascii="Times New Roman" w:hAnsi="Times New Roman" w:cs="Times New Roman"/>
        </w:rPr>
        <w:t xml:space="preserve">nodes that function independently of </w:t>
      </w:r>
      <w:r w:rsidR="00322C53" w:rsidRPr="00D70331">
        <w:rPr>
          <w:rFonts w:ascii="Times New Roman" w:hAnsi="Times New Roman" w:cs="Times New Roman"/>
        </w:rPr>
        <w:t>the main node (e.g.</w:t>
      </w:r>
      <w:r w:rsidR="002B09C3" w:rsidRPr="00D70331">
        <w:rPr>
          <w:rFonts w:ascii="Times New Roman" w:hAnsi="Times New Roman" w:cs="Times New Roman"/>
        </w:rPr>
        <w:t xml:space="preserve"> backup servers, web servers), we are in the process of implementing Ansible</w:t>
      </w:r>
      <w:r w:rsidR="007861F9">
        <w:rPr>
          <w:rFonts w:ascii="Times New Roman" w:hAnsi="Times New Roman" w:cs="Times New Roman"/>
        </w:rPr>
        <w:t xml:space="preserve"> </w:t>
      </w:r>
      <w:r w:rsidR="00C50E40">
        <w:rPr>
          <w:rFonts w:ascii="Times New Roman" w:hAnsi="Times New Roman" w:cs="Times New Roman"/>
        </w:rPr>
        <w:fldChar w:fldCharType="begin"/>
      </w:r>
      <w:r w:rsidR="00C50E40">
        <w:rPr>
          <w:rFonts w:ascii="Times New Roman" w:hAnsi="Times New Roman" w:cs="Times New Roman"/>
        </w:rPr>
        <w:instrText xml:space="preserve"> REF _Ref498453978 \n </w:instrText>
      </w:r>
      <w:r w:rsidR="00C50E40">
        <w:rPr>
          <w:rFonts w:ascii="Times New Roman" w:hAnsi="Times New Roman" w:cs="Times New Roman"/>
        </w:rPr>
        <w:fldChar w:fldCharType="separate"/>
      </w:r>
      <w:r w:rsidR="006450B2">
        <w:rPr>
          <w:rFonts w:ascii="Times New Roman" w:hAnsi="Times New Roman" w:cs="Times New Roman"/>
        </w:rPr>
        <w:t>[4]</w:t>
      </w:r>
      <w:r w:rsidR="00C50E40">
        <w:rPr>
          <w:rFonts w:ascii="Times New Roman" w:hAnsi="Times New Roman" w:cs="Times New Roman"/>
        </w:rPr>
        <w:fldChar w:fldCharType="end"/>
      </w:r>
      <w:r w:rsidR="002B09C3" w:rsidRPr="00D70331">
        <w:rPr>
          <w:rFonts w:ascii="Times New Roman" w:hAnsi="Times New Roman" w:cs="Times New Roman"/>
        </w:rPr>
        <w:t xml:space="preserve"> to automate their setup and configuration.  </w:t>
      </w:r>
    </w:p>
    <w:p w14:paraId="34589F9B" w14:textId="04142E9F" w:rsidR="002B09C3" w:rsidRPr="00D70331" w:rsidRDefault="002B09C3" w:rsidP="00052AC4">
      <w:pPr>
        <w:tabs>
          <w:tab w:val="left" w:pos="2385"/>
        </w:tabs>
        <w:spacing w:after="240" w:line="240" w:lineRule="auto"/>
        <w:jc w:val="both"/>
        <w:rPr>
          <w:rFonts w:ascii="Times New Roman" w:hAnsi="Times New Roman" w:cs="Times New Roman"/>
        </w:rPr>
      </w:pPr>
      <w:r w:rsidRPr="00D70331">
        <w:rPr>
          <w:rFonts w:ascii="Times New Roman" w:hAnsi="Times New Roman" w:cs="Times New Roman"/>
        </w:rPr>
        <w:t>The queue manager that controls job submission is composed of a resource manager</w:t>
      </w:r>
      <w:r w:rsidR="00322C53" w:rsidRPr="00D70331">
        <w:rPr>
          <w:rFonts w:ascii="Times New Roman" w:hAnsi="Times New Roman" w:cs="Times New Roman"/>
        </w:rPr>
        <w:t xml:space="preserve"> </w:t>
      </w:r>
      <w:r w:rsidRPr="00D70331">
        <w:rPr>
          <w:rFonts w:ascii="Times New Roman" w:hAnsi="Times New Roman" w:cs="Times New Roman"/>
        </w:rPr>
        <w:t>(</w:t>
      </w:r>
      <w:r w:rsidR="00801658">
        <w:rPr>
          <w:rFonts w:ascii="Times New Roman" w:hAnsi="Times New Roman" w:cs="Times New Roman"/>
        </w:rPr>
        <w:t xml:space="preserve">TORQUE </w:t>
      </w:r>
      <w:r w:rsidR="00801658">
        <w:rPr>
          <w:rFonts w:ascii="Times New Roman" w:hAnsi="Times New Roman" w:cs="Times New Roman"/>
        </w:rPr>
        <w:fldChar w:fldCharType="begin"/>
      </w:r>
      <w:r w:rsidR="00801658">
        <w:rPr>
          <w:rFonts w:ascii="Times New Roman" w:hAnsi="Times New Roman" w:cs="Times New Roman"/>
        </w:rPr>
        <w:instrText xml:space="preserve"> REF _Ref498454239 \n </w:instrText>
      </w:r>
      <w:r w:rsidR="00801658">
        <w:rPr>
          <w:rFonts w:ascii="Times New Roman" w:hAnsi="Times New Roman" w:cs="Times New Roman"/>
        </w:rPr>
        <w:fldChar w:fldCharType="separate"/>
      </w:r>
      <w:r w:rsidR="006450B2">
        <w:rPr>
          <w:rFonts w:ascii="Times New Roman" w:hAnsi="Times New Roman" w:cs="Times New Roman"/>
        </w:rPr>
        <w:t>[5]</w:t>
      </w:r>
      <w:r w:rsidR="00801658">
        <w:rPr>
          <w:rFonts w:ascii="Times New Roman" w:hAnsi="Times New Roman" w:cs="Times New Roman"/>
        </w:rPr>
        <w:fldChar w:fldCharType="end"/>
      </w:r>
      <w:r w:rsidRPr="00D70331">
        <w:rPr>
          <w:rFonts w:ascii="Times New Roman" w:hAnsi="Times New Roman" w:cs="Times New Roman"/>
        </w:rPr>
        <w:t>)</w:t>
      </w:r>
      <w:r w:rsidR="00EF3A6A">
        <w:rPr>
          <w:rFonts w:ascii="Times New Roman" w:hAnsi="Times New Roman" w:cs="Times New Roman"/>
        </w:rPr>
        <w:t>,</w:t>
      </w:r>
      <w:r w:rsidRPr="00D70331">
        <w:rPr>
          <w:rFonts w:ascii="Times New Roman" w:hAnsi="Times New Roman" w:cs="Times New Roman"/>
        </w:rPr>
        <w:t xml:space="preserve"> monito</w:t>
      </w:r>
      <w:r w:rsidR="00A260E4" w:rsidRPr="00D70331">
        <w:rPr>
          <w:rFonts w:ascii="Times New Roman" w:hAnsi="Times New Roman" w:cs="Times New Roman"/>
        </w:rPr>
        <w:t>rs node resource statistics.  It also handles everything related to submitting and running jobs from the main node on</w:t>
      </w:r>
      <w:r w:rsidRPr="00D70331">
        <w:rPr>
          <w:rFonts w:ascii="Times New Roman" w:hAnsi="Times New Roman" w:cs="Times New Roman"/>
        </w:rPr>
        <w:t xml:space="preserve"> one or more compute nodes.  Torque is accompanied by a job scheduler (Maui</w:t>
      </w:r>
      <w:r w:rsidR="007861F9">
        <w:rPr>
          <w:rFonts w:ascii="Times New Roman" w:hAnsi="Times New Roman" w:cs="Times New Roman"/>
        </w:rPr>
        <w:t xml:space="preserve"> </w:t>
      </w:r>
      <w:r w:rsidR="006450B2">
        <w:rPr>
          <w:rFonts w:ascii="Times New Roman" w:hAnsi="Times New Roman" w:cs="Times New Roman"/>
        </w:rPr>
        <w:fldChar w:fldCharType="begin"/>
      </w:r>
      <w:r w:rsidR="006450B2">
        <w:rPr>
          <w:rFonts w:ascii="Times New Roman" w:hAnsi="Times New Roman" w:cs="Times New Roman"/>
        </w:rPr>
        <w:instrText xml:space="preserve"> REF _Ref498454497 \n </w:instrText>
      </w:r>
      <w:r w:rsidR="006450B2">
        <w:rPr>
          <w:rFonts w:ascii="Times New Roman" w:hAnsi="Times New Roman" w:cs="Times New Roman"/>
        </w:rPr>
        <w:fldChar w:fldCharType="separate"/>
      </w:r>
      <w:r w:rsidR="006450B2">
        <w:rPr>
          <w:rFonts w:ascii="Times New Roman" w:hAnsi="Times New Roman" w:cs="Times New Roman"/>
        </w:rPr>
        <w:t>[6]</w:t>
      </w:r>
      <w:r w:rsidR="006450B2">
        <w:rPr>
          <w:rFonts w:ascii="Times New Roman" w:hAnsi="Times New Roman" w:cs="Times New Roman"/>
        </w:rPr>
        <w:fldChar w:fldCharType="end"/>
      </w:r>
      <w:r w:rsidRPr="00D70331">
        <w:rPr>
          <w:rFonts w:ascii="Times New Roman" w:hAnsi="Times New Roman" w:cs="Times New Roman"/>
        </w:rPr>
        <w:t xml:space="preserve">) that communicates with the resource manager and, based on the status of the compute nodes and the internal scheduling </w:t>
      </w:r>
      <w:r w:rsidR="00052AC4" w:rsidRPr="0018728F">
        <w:rPr>
          <w:i/>
          <w:noProof/>
        </w:rPr>
        <mc:AlternateContent>
          <mc:Choice Requires="wps">
            <w:drawing>
              <wp:anchor distT="91440" distB="0" distL="114300" distR="114300" simplePos="0" relativeHeight="251660288" behindDoc="0" locked="1" layoutInCell="1" allowOverlap="1" wp14:anchorId="104247C5" wp14:editId="1E10E01D">
                <wp:simplePos x="0" y="0"/>
                <wp:positionH relativeFrom="margin">
                  <wp:posOffset>26035</wp:posOffset>
                </wp:positionH>
                <wp:positionV relativeFrom="paragraph">
                  <wp:posOffset>2501900</wp:posOffset>
                </wp:positionV>
                <wp:extent cx="838200" cy="1270"/>
                <wp:effectExtent l="0" t="0" r="25400" b="49530"/>
                <wp:wrapTopAndBottom/>
                <wp:docPr id="3" name="Straight Connector 3"/>
                <wp:cNvGraphicFramePr/>
                <a:graphic xmlns:a="http://schemas.openxmlformats.org/drawingml/2006/main">
                  <a:graphicData uri="http://schemas.microsoft.com/office/word/2010/wordprocessingShape">
                    <wps:wsp>
                      <wps:cNvCnPr/>
                      <wps:spPr>
                        <a:xfrm>
                          <a:off x="0" y="0"/>
                          <a:ext cx="838200" cy="127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570A7" id="Straight Connector 3" o:spid="_x0000_s1026" style="position:absolute;z-index:251660288;visibility:visible;mso-wrap-style:square;mso-width-percent:0;mso-height-percent:0;mso-wrap-distance-left:9pt;mso-wrap-distance-top:7.2pt;mso-wrap-distance-right:9pt;mso-wrap-distance-bottom:0;mso-position-horizontal:absolute;mso-position-horizontal-relative:margin;mso-position-vertical:absolute;mso-position-vertical-relative:text;mso-width-percent:0;mso-height-percent:0;mso-width-relative:margin;mso-height-relative:margin" from="2.05pt,197pt" to="68.05pt,19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" strokecolor="black [3213]" strokeweight=".5pt">
                <v:stroke joinstyle="miter"/>
                <w10:wrap type="topAndBottom" anchorx="margin"/>
                <w10:anchorlock/>
              </v:line>
            </w:pict>
          </mc:Fallback>
        </mc:AlternateContent>
      </w:r>
      <w:r w:rsidRPr="00D70331">
        <w:rPr>
          <w:rFonts w:ascii="Times New Roman" w:hAnsi="Times New Roman" w:cs="Times New Roman"/>
        </w:rPr>
        <w:t>of node can be requested, and setting scheduling single or multi-dimensional scheduling policies (e.g. setting scheduling policies per user per queue).</w:t>
      </w:r>
    </w:p>
    <w:p w14:paraId="4E5DAF4C" w14:textId="46B48F96" w:rsidR="006552B7" w:rsidRDefault="00052AC4" w:rsidP="00052AC4">
      <w:pPr>
        <w:tabs>
          <w:tab w:val="left" w:pos="2385"/>
        </w:tabs>
        <w:spacing w:after="240" w:line="240" w:lineRule="auto"/>
        <w:jc w:val="both"/>
        <w:rPr>
          <w:rFonts w:ascii="Times New Roman" w:hAnsi="Times New Roman" w:cs="Times New Roman"/>
        </w:rPr>
      </w:pPr>
      <w:r>
        <w:rPr>
          <w:noProof/>
        </w:rPr>
        <mc:AlternateContent>
          <mc:Choice Requires="wps">
            <w:drawing>
              <wp:anchor distT="0" distB="0" distL="0" distR="0" simplePos="0" relativeHeight="251659264" behindDoc="0" locked="0" layoutInCell="1" allowOverlap="1" wp14:anchorId="3D075FF4" wp14:editId="4A959BCE">
                <wp:simplePos x="0" y="0"/>
                <wp:positionH relativeFrom="margin">
                  <wp:align>center</wp:align>
                </wp:positionH>
                <wp:positionV relativeFrom="margin">
                  <wp:align>bottom</wp:align>
                </wp:positionV>
                <wp:extent cx="5934456" cy="411480"/>
                <wp:effectExtent l="0" t="0" r="9525" b="20320"/>
                <wp:wrapSquare wrapText="bothSides"/>
                <wp:docPr id="1" name="Text Box 1"/>
                <wp:cNvGraphicFramePr/>
                <a:graphic xmlns:a="http://schemas.openxmlformats.org/drawingml/2006/main">
                  <a:graphicData uri="http://schemas.microsoft.com/office/word/2010/wordprocessingShape">
                    <wps:wsp>
                      <wps:cNvSpPr txBox="1"/>
                      <wps:spPr>
                        <a:xfrm>
                          <a:off x="0" y="0"/>
                          <a:ext cx="5934456" cy="411480"/>
                        </a:xfrm>
                        <a:prstGeom prst="rect">
                          <a:avLst/>
                        </a:prstGeom>
                        <a:noFill/>
                        <a:ln>
                          <a:noFill/>
                        </a:ln>
                        <a:effectLst/>
                      </wps:spPr>
                      <wps:txbx>
                        <w:txbxContent>
                          <w:p w14:paraId="54BFA29B" w14:textId="24D68593" w:rsidR="00052AC4" w:rsidRPr="00052AC4" w:rsidRDefault="00052AC4" w:rsidP="00052AC4">
                            <w:pPr>
                              <w:pStyle w:val="ListParagraph"/>
                              <w:numPr>
                                <w:ilvl w:val="0"/>
                                <w:numId w:val="1"/>
                              </w:numPr>
                              <w:ind w:left="360"/>
                              <w:jc w:val="both"/>
                              <w:rPr>
                                <w:sz w:val="18"/>
                                <w:szCs w:val="18"/>
                              </w:rPr>
                            </w:pPr>
                            <w:r w:rsidRPr="00052AC4">
                              <w:rPr>
                                <w:rFonts w:eastAsiaTheme="minorEastAsia"/>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w:t>
                            </w:r>
                            <w:r>
                              <w:rPr>
                                <w:rFonts w:eastAsiaTheme="minorEastAsia"/>
                                <w:sz w:val="18"/>
                                <w:szCs w:val="18"/>
                              </w:rPr>
                              <w:t xml:space="preserve"> National Institutes of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75FF4" id="_x0000_t202" coordsize="21600,21600" o:spt="202" path="m0,0l0,21600,21600,21600,21600,0xe">
                <v:stroke joinstyle="miter"/>
                <v:path gradientshapeok="t" o:connecttype="rect"/>
              </v:shapetype>
              <v:shape id="Text Box 1" o:spid="_x0000_s1026" type="#_x0000_t202" style="position:absolute;left:0;text-align:left;margin-left:0;margin-top:0;width:467.3pt;height:32.4pt;z-index:251659264;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" filled="f" stroked="f">
                <v:textbox inset="0,0,0,0">
                  <w:txbxContent>
                    <w:p w14:paraId="54BFA29B" w14:textId="24D68593" w:rsidR="00052AC4" w:rsidRPr="00052AC4" w:rsidRDefault="00052AC4" w:rsidP="00052AC4">
                      <w:pPr>
                        <w:pStyle w:val="ListParagraph"/>
                        <w:numPr>
                          <w:ilvl w:val="0"/>
                          <w:numId w:val="1"/>
                        </w:numPr>
                        <w:ind w:left="360"/>
                        <w:jc w:val="both"/>
                        <w:rPr>
                          <w:sz w:val="18"/>
                          <w:szCs w:val="18"/>
                        </w:rPr>
                      </w:pPr>
                      <w:r w:rsidRPr="00052AC4">
                        <w:rPr>
                          <w:rFonts w:eastAsiaTheme="minorEastAsia"/>
                          <w:sz w:val="18"/>
                          <w:szCs w:val="18"/>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w:t>
                      </w:r>
                      <w:r>
                        <w:rPr>
                          <w:rFonts w:eastAsiaTheme="minorEastAsia"/>
                          <w:sz w:val="18"/>
                          <w:szCs w:val="18"/>
                        </w:rPr>
                        <w:t xml:space="preserve"> National Institutes of Health.</w:t>
                      </w:r>
                    </w:p>
                  </w:txbxContent>
                </v:textbox>
                <w10:wrap type="square" anchorx="margin" anchory="margin"/>
              </v:shape>
            </w:pict>
          </mc:Fallback>
        </mc:AlternateContent>
      </w:r>
      <w:r w:rsidR="002B09C3" w:rsidRPr="00D70331">
        <w:rPr>
          <w:rFonts w:ascii="Times New Roman" w:hAnsi="Times New Roman" w:cs="Times New Roman"/>
        </w:rPr>
        <w:t>A number of free and open source monitoring tools are available to keep track of system statistics (e.g. network bandwidth, CPU/memory usage) and hardware failures.  As computing systems scale, it is important to identify and resolve bottlenecks, which can limit the performance gain from scaling.  Ganglia</w:t>
      </w:r>
      <w:r w:rsidR="005B52B8">
        <w:rPr>
          <w:rFonts w:ascii="Times New Roman" w:hAnsi="Times New Roman" w:cs="Times New Roman"/>
        </w:rPr>
        <w:t xml:space="preserve"> </w:t>
      </w:r>
      <w:r w:rsidR="005B52B8">
        <w:rPr>
          <w:rFonts w:ascii="Times New Roman" w:hAnsi="Times New Roman" w:cs="Times New Roman"/>
        </w:rPr>
        <w:fldChar w:fldCharType="begin"/>
      </w:r>
      <w:r w:rsidR="005B52B8">
        <w:rPr>
          <w:rFonts w:ascii="Times New Roman" w:hAnsi="Times New Roman" w:cs="Times New Roman"/>
        </w:rPr>
        <w:instrText xml:space="preserve"> REF _Ref498454854 \n </w:instrText>
      </w:r>
      <w:r w:rsidR="005B52B8">
        <w:rPr>
          <w:rFonts w:ascii="Times New Roman" w:hAnsi="Times New Roman" w:cs="Times New Roman"/>
        </w:rPr>
        <w:fldChar w:fldCharType="separate"/>
      </w:r>
      <w:r w:rsidR="005B52B8">
        <w:rPr>
          <w:rFonts w:ascii="Times New Roman" w:hAnsi="Times New Roman" w:cs="Times New Roman"/>
        </w:rPr>
        <w:t>[7]</w:t>
      </w:r>
      <w:r w:rsidR="005B52B8">
        <w:rPr>
          <w:rFonts w:ascii="Times New Roman" w:hAnsi="Times New Roman" w:cs="Times New Roman"/>
        </w:rPr>
        <w:fldChar w:fldCharType="end"/>
      </w:r>
      <w:r w:rsidR="002B09C3" w:rsidRPr="00D70331">
        <w:rPr>
          <w:rFonts w:ascii="Times New Roman" w:hAnsi="Times New Roman" w:cs="Times New Roman"/>
        </w:rPr>
        <w:t xml:space="preserve"> is </w:t>
      </w:r>
      <w:r w:rsidR="00F12CAF">
        <w:rPr>
          <w:rFonts w:ascii="Times New Roman" w:hAnsi="Times New Roman" w:cs="Times New Roman"/>
        </w:rPr>
        <w:t xml:space="preserve">a </w:t>
      </w:r>
      <w:r w:rsidR="002B09C3" w:rsidRPr="00D70331">
        <w:rPr>
          <w:rFonts w:ascii="Times New Roman" w:hAnsi="Times New Roman" w:cs="Times New Roman"/>
        </w:rPr>
        <w:t>system monitoring software that collects information from cluster nodes and displays the information graphically through a web interface</w:t>
      </w:r>
      <w:r w:rsidR="004C69EC">
        <w:rPr>
          <w:rFonts w:ascii="Times New Roman" w:hAnsi="Times New Roman" w:cs="Times New Roman"/>
        </w:rPr>
        <w:t xml:space="preserve"> </w:t>
      </w:r>
      <w:r w:rsidR="005B52B8">
        <w:rPr>
          <w:rFonts w:ascii="Times New Roman" w:hAnsi="Times New Roman" w:cs="Times New Roman"/>
        </w:rPr>
        <w:fldChar w:fldCharType="begin"/>
      </w:r>
      <w:r w:rsidR="005B52B8">
        <w:rPr>
          <w:rFonts w:ascii="Times New Roman" w:hAnsi="Times New Roman" w:cs="Times New Roman"/>
        </w:rPr>
        <w:instrText xml:space="preserve"> REF _Ref498454889 \n </w:instrText>
      </w:r>
      <w:r w:rsidR="005B52B8">
        <w:rPr>
          <w:rFonts w:ascii="Times New Roman" w:hAnsi="Times New Roman" w:cs="Times New Roman"/>
        </w:rPr>
        <w:fldChar w:fldCharType="separate"/>
      </w:r>
      <w:r w:rsidR="005B52B8">
        <w:rPr>
          <w:rFonts w:ascii="Times New Roman" w:hAnsi="Times New Roman" w:cs="Times New Roman"/>
        </w:rPr>
        <w:t>[8]</w:t>
      </w:r>
      <w:r w:rsidR="005B52B8">
        <w:rPr>
          <w:rFonts w:ascii="Times New Roman" w:hAnsi="Times New Roman" w:cs="Times New Roman"/>
        </w:rPr>
        <w:fldChar w:fldCharType="end"/>
      </w:r>
      <w:r w:rsidR="002B09C3" w:rsidRPr="00D70331">
        <w:rPr>
          <w:rFonts w:ascii="Times New Roman" w:hAnsi="Times New Roman" w:cs="Times New Roman"/>
        </w:rPr>
        <w:t xml:space="preserve">.  </w:t>
      </w:r>
      <w:r w:rsidR="002B09C3" w:rsidRPr="00062209">
        <w:rPr>
          <w:rFonts w:ascii="Times New Roman" w:hAnsi="Times New Roman" w:cs="Times New Roman"/>
          <w:i/>
        </w:rPr>
        <w:t>Mdadm</w:t>
      </w:r>
      <w:r w:rsidR="002B09C3" w:rsidRPr="00D70331">
        <w:rPr>
          <w:rFonts w:ascii="Times New Roman" w:hAnsi="Times New Roman" w:cs="Times New Roman"/>
        </w:rPr>
        <w:t xml:space="preserve"> is a standard Linux utility that we use to manage the RAID arrays on the cluster.  With these arrays, the cluster becomes significantly more robust in the face of hard drive failures</w:t>
      </w:r>
      <w:r w:rsidR="00F83C8D">
        <w:rPr>
          <w:rFonts w:ascii="Times New Roman" w:hAnsi="Times New Roman" w:cs="Times New Roman"/>
        </w:rPr>
        <w:t xml:space="preserve"> </w:t>
      </w:r>
      <w:r w:rsidR="00BD424C">
        <w:rPr>
          <w:rFonts w:ascii="Times New Roman" w:hAnsi="Times New Roman" w:cs="Times New Roman"/>
        </w:rPr>
        <w:fldChar w:fldCharType="begin"/>
      </w:r>
      <w:r w:rsidR="00BD424C">
        <w:rPr>
          <w:rFonts w:ascii="Times New Roman" w:hAnsi="Times New Roman" w:cs="Times New Roman"/>
        </w:rPr>
        <w:instrText xml:space="preserve"> REF _Ref498283062 \n </w:instrText>
      </w:r>
      <w:r w:rsidR="00BD424C">
        <w:rPr>
          <w:rFonts w:ascii="Times New Roman" w:hAnsi="Times New Roman" w:cs="Times New Roman"/>
        </w:rPr>
        <w:fldChar w:fldCharType="separate"/>
      </w:r>
      <w:r w:rsidR="00062209">
        <w:rPr>
          <w:rFonts w:ascii="Times New Roman" w:hAnsi="Times New Roman" w:cs="Times New Roman"/>
        </w:rPr>
        <w:t>[9]</w:t>
      </w:r>
      <w:r w:rsidR="00BD424C">
        <w:rPr>
          <w:rFonts w:ascii="Times New Roman" w:hAnsi="Times New Roman" w:cs="Times New Roman"/>
        </w:rPr>
        <w:fldChar w:fldCharType="end"/>
      </w:r>
      <w:r w:rsidR="002B09C3" w:rsidRPr="00D70331">
        <w:rPr>
          <w:rFonts w:ascii="Times New Roman" w:hAnsi="Times New Roman" w:cs="Times New Roman"/>
        </w:rPr>
        <w:t xml:space="preserve">.  </w:t>
      </w:r>
      <w:r w:rsidR="002B09C3" w:rsidRPr="00062209">
        <w:rPr>
          <w:rFonts w:ascii="Times New Roman" w:hAnsi="Times New Roman" w:cs="Times New Roman"/>
          <w:i/>
        </w:rPr>
        <w:t>Smartctl</w:t>
      </w:r>
      <w:r w:rsidR="00062209">
        <w:rPr>
          <w:rFonts w:ascii="Times New Roman" w:hAnsi="Times New Roman" w:cs="Times New Roman"/>
        </w:rPr>
        <w:t xml:space="preserve"> </w:t>
      </w:r>
      <w:r w:rsidR="002B09C3" w:rsidRPr="00D70331">
        <w:rPr>
          <w:rFonts w:ascii="Times New Roman" w:hAnsi="Times New Roman" w:cs="Times New Roman"/>
        </w:rPr>
        <w:t xml:space="preserve">is another </w:t>
      </w:r>
      <w:r w:rsidR="00062209">
        <w:rPr>
          <w:rFonts w:ascii="Times New Roman" w:hAnsi="Times New Roman" w:cs="Times New Roman"/>
        </w:rPr>
        <w:t xml:space="preserve">standard </w:t>
      </w:r>
      <w:r w:rsidR="002B09C3" w:rsidRPr="00D70331">
        <w:rPr>
          <w:rFonts w:ascii="Times New Roman" w:hAnsi="Times New Roman" w:cs="Times New Roman"/>
        </w:rPr>
        <w:t>Linux utility that can be used to report in</w:t>
      </w:r>
      <w:bookmarkStart w:id="8" w:name="_GoBack"/>
      <w:bookmarkEnd w:id="8"/>
      <w:r w:rsidR="002B09C3" w:rsidRPr="00D70331">
        <w:rPr>
          <w:rFonts w:ascii="Times New Roman" w:hAnsi="Times New Roman" w:cs="Times New Roman"/>
        </w:rPr>
        <w:t>formation about the status of all the hard drives</w:t>
      </w:r>
      <w:r w:rsidR="00A260E4" w:rsidRPr="00D70331">
        <w:rPr>
          <w:rFonts w:ascii="Times New Roman" w:hAnsi="Times New Roman" w:cs="Times New Roman"/>
        </w:rPr>
        <w:t xml:space="preserve"> (e.g.</w:t>
      </w:r>
      <w:r w:rsidR="002B09C3" w:rsidRPr="00D70331">
        <w:rPr>
          <w:rFonts w:ascii="Times New Roman" w:hAnsi="Times New Roman" w:cs="Times New Roman"/>
        </w:rPr>
        <w:t xml:space="preserve"> the number of bad sectors</w:t>
      </w:r>
      <w:r w:rsidR="00A260E4" w:rsidRPr="00D70331">
        <w:rPr>
          <w:rFonts w:ascii="Times New Roman" w:hAnsi="Times New Roman" w:cs="Times New Roman"/>
        </w:rPr>
        <w:t>)</w:t>
      </w:r>
      <w:r w:rsidR="002B09C3" w:rsidRPr="00D70331">
        <w:rPr>
          <w:rFonts w:ascii="Times New Roman" w:hAnsi="Times New Roman" w:cs="Times New Roman"/>
        </w:rPr>
        <w:t>.</w:t>
      </w:r>
    </w:p>
    <w:p w14:paraId="5192A333" w14:textId="4500B4A0" w:rsidR="00917A20" w:rsidRDefault="006552B7" w:rsidP="00801658">
      <w:pPr>
        <w:widowControl w:val="0"/>
        <w:tabs>
          <w:tab w:val="left" w:pos="2385"/>
        </w:tabs>
        <w:spacing w:after="240" w:line="240" w:lineRule="auto"/>
        <w:jc w:val="both"/>
        <w:rPr>
          <w:rFonts w:ascii="Times New Roman" w:hAnsi="Times New Roman" w:cs="Times New Roman"/>
        </w:rPr>
      </w:pPr>
      <w:r>
        <w:rPr>
          <w:rFonts w:ascii="Times New Roman" w:hAnsi="Times New Roman" w:cs="Times New Roman"/>
        </w:rPr>
        <w:lastRenderedPageBreak/>
        <w:t>There is a very large space of potential software solutions for these clusters. The goal of this abstract is to introduce readers to a core set of tools we find useful in developing and maintaining a low-cost cluster. In this poster, we discuss the tools we find most useful in efficiently managing our cluster and will provide a demo. We emphasize tools that are easy to learn and yet provide the necessary capabilities to manage a heterogeneous cluster. We provide support to a growing base of users on these issues.</w:t>
      </w:r>
    </w:p>
    <w:p w14:paraId="75819D1F" w14:textId="77777777" w:rsidR="006A20AB" w:rsidRPr="001520E9" w:rsidRDefault="006A20AB" w:rsidP="0075322E">
      <w:pPr>
        <w:spacing w:after="120" w:line="240" w:lineRule="auto"/>
        <w:jc w:val="both"/>
        <w:rPr>
          <w:rFonts w:ascii="Times New Roman" w:eastAsia="Times New Roman" w:hAnsi="Times New Roman" w:cs="Times New Roman"/>
        </w:rPr>
      </w:pPr>
      <w:r w:rsidRPr="00AA4748">
        <w:rPr>
          <w:rFonts w:ascii="Times New Roman" w:eastAsia="Times New Roman" w:hAnsi="Times New Roman" w:cs="Times New Roman"/>
          <w:smallCaps/>
        </w:rPr>
        <w:t>References</w:t>
      </w:r>
    </w:p>
    <w:p w14:paraId="3846CF24" w14:textId="447A560A" w:rsidR="0040515D" w:rsidRDefault="0040515D" w:rsidP="0040515D">
      <w:pPr>
        <w:pStyle w:val="references"/>
        <w:numPr>
          <w:ilvl w:val="0"/>
          <w:numId w:val="2"/>
        </w:numPr>
        <w:tabs>
          <w:tab w:val="num" w:pos="540"/>
        </w:tabs>
        <w:ind w:left="540" w:hanging="540"/>
      </w:pPr>
      <w:bookmarkStart w:id="9" w:name="_Ref498282995"/>
      <w:bookmarkStart w:id="10" w:name="_Ref496908065"/>
      <w:bookmarkStart w:id="11" w:name="_Ref498452930"/>
      <w:r>
        <w:t xml:space="preserve">V. V Kindratenko, J. J. Enos, G. Shi, M. T. Showerman, G. W. Arnold, J. E. Stone, J. C. Phillips, and W. m. Hwu, “GPU clusters for </w:t>
      </w:r>
      <w:r w:rsidR="008C40D6">
        <w:t xml:space="preserve">high-performance computing,” </w:t>
      </w:r>
      <w:r w:rsidR="008C40D6" w:rsidRPr="008C40D6">
        <w:rPr>
          <w:i/>
        </w:rPr>
        <w:t xml:space="preserve">Proceedings of the </w:t>
      </w:r>
      <w:r w:rsidRPr="008C40D6">
        <w:rPr>
          <w:i/>
        </w:rPr>
        <w:t>IEEE International Conference on Cluster Computing and Workshops</w:t>
      </w:r>
      <w:r>
        <w:t>, 2009, pp. 1–8.</w:t>
      </w:r>
      <w:r w:rsidR="008C40D6">
        <w:t xml:space="preserve"> Retreived from </w:t>
      </w:r>
      <w:r w:rsidR="008C40D6" w:rsidRPr="00BD424C">
        <w:rPr>
          <w:i/>
        </w:rPr>
        <w:t>https://doi.org/</w:t>
      </w:r>
      <w:r w:rsidR="008C40D6" w:rsidRPr="008C40D6">
        <w:rPr>
          <w:i/>
        </w:rPr>
        <w:t>10.1109/CLUSTR.2009.5289128</w:t>
      </w:r>
      <w:r w:rsidR="008C40D6">
        <w:t>.</w:t>
      </w:r>
      <w:bookmarkEnd w:id="11"/>
    </w:p>
    <w:p w14:paraId="0C9AEBE7" w14:textId="3A983E3C" w:rsidR="006450B2" w:rsidRPr="0040515D" w:rsidRDefault="006450B2" w:rsidP="006450B2">
      <w:pPr>
        <w:pStyle w:val="references"/>
        <w:numPr>
          <w:ilvl w:val="0"/>
          <w:numId w:val="2"/>
        </w:numPr>
        <w:tabs>
          <w:tab w:val="num" w:pos="540"/>
        </w:tabs>
        <w:ind w:left="540" w:hanging="540"/>
      </w:pPr>
      <w:bookmarkStart w:id="12" w:name="_Ref498454567"/>
      <w:r>
        <w:t xml:space="preserve">K. Sajjapongse, T. Agarwal, and M. Becchi, “A flexible scheduling framework for heterogeneous CPU-GPU clusters,” </w:t>
      </w:r>
      <w:r w:rsidRPr="00BD424C">
        <w:rPr>
          <w:i/>
        </w:rPr>
        <w:t>Proceedings of the 21st International Conference on High Performance Computing</w:t>
      </w:r>
      <w:r w:rsidRPr="00BD424C">
        <w:t xml:space="preserve"> (HiPC)</w:t>
      </w:r>
      <w:r>
        <w:t xml:space="preserve">, pp. 1–11, 2014. Retrieved from </w:t>
      </w:r>
      <w:r w:rsidRPr="00BD424C">
        <w:rPr>
          <w:i/>
        </w:rPr>
        <w:t>https://doi.org/10.1109/HiPC.2014.7116892</w:t>
      </w:r>
      <w:r>
        <w:t>.</w:t>
      </w:r>
      <w:bookmarkEnd w:id="12"/>
    </w:p>
    <w:p w14:paraId="5D7BCDAE" w14:textId="1087E984" w:rsidR="00C9191A" w:rsidRPr="00C9191A" w:rsidRDefault="00C9191A" w:rsidP="00C9191A">
      <w:pPr>
        <w:pStyle w:val="references"/>
        <w:numPr>
          <w:ilvl w:val="0"/>
          <w:numId w:val="2"/>
        </w:numPr>
        <w:tabs>
          <w:tab w:val="num" w:pos="540"/>
        </w:tabs>
        <w:ind w:left="540" w:hanging="540"/>
      </w:pPr>
      <w:bookmarkStart w:id="13" w:name="_Ref498453436"/>
      <w:r>
        <w:t xml:space="preserve">Lawrence Livermore National </w:t>
      </w:r>
      <w:r>
        <w:t>Laboratory, “Welcome to the Warewulf Project,” 2017.</w:t>
      </w:r>
      <w:r>
        <w:t xml:space="preserve"> Retrieved from </w:t>
      </w:r>
      <w:r w:rsidRPr="00C9191A">
        <w:rPr>
          <w:i/>
        </w:rPr>
        <w:t>http://warewulf.lbl.gov/</w:t>
      </w:r>
      <w:r>
        <w:t>.</w:t>
      </w:r>
      <w:bookmarkEnd w:id="13"/>
    </w:p>
    <w:p w14:paraId="56EC2983" w14:textId="3CBAB2A1" w:rsidR="00C50E40" w:rsidRPr="00C50E40" w:rsidRDefault="00C50E40" w:rsidP="00C50E40">
      <w:pPr>
        <w:pStyle w:val="references"/>
        <w:numPr>
          <w:ilvl w:val="0"/>
          <w:numId w:val="2"/>
        </w:numPr>
        <w:tabs>
          <w:tab w:val="num" w:pos="540"/>
        </w:tabs>
        <w:ind w:left="540" w:hanging="540"/>
      </w:pPr>
      <w:bookmarkStart w:id="14" w:name="_Ref498453978"/>
      <w:r>
        <w:t>The Redhat Corporation</w:t>
      </w:r>
      <w:r>
        <w:t xml:space="preserve">, “Ansible,” 2017. </w:t>
      </w:r>
      <w:r>
        <w:t xml:space="preserve">Retreived from </w:t>
      </w:r>
      <w:r w:rsidRPr="00C50E40">
        <w:rPr>
          <w:i/>
        </w:rPr>
        <w:t>https://www.ansible.com/</w:t>
      </w:r>
      <w:r>
        <w:t>.</w:t>
      </w:r>
      <w:bookmarkEnd w:id="14"/>
    </w:p>
    <w:p w14:paraId="1E2A48C4" w14:textId="2026D8B0" w:rsidR="00801658" w:rsidRPr="00801658" w:rsidRDefault="00801658" w:rsidP="00801658">
      <w:pPr>
        <w:pStyle w:val="references"/>
        <w:numPr>
          <w:ilvl w:val="0"/>
          <w:numId w:val="2"/>
        </w:numPr>
        <w:tabs>
          <w:tab w:val="num" w:pos="540"/>
        </w:tabs>
        <w:ind w:left="540" w:hanging="540"/>
      </w:pPr>
      <w:bookmarkStart w:id="15" w:name="_Ref498454239"/>
      <w:r>
        <w:t>Adaptive Computing</w:t>
      </w:r>
      <w:r>
        <w:t xml:space="preserve">, “The Torque Resource Manager,” 2017. </w:t>
      </w:r>
      <w:r>
        <w:t xml:space="preserve">Retrieved from </w:t>
      </w:r>
      <w:r w:rsidRPr="00801658">
        <w:rPr>
          <w:i/>
        </w:rPr>
        <w:t>http://www.adaptivecomputing.com/products/open-source/torque/</w:t>
      </w:r>
      <w:r>
        <w:t>.</w:t>
      </w:r>
      <w:bookmarkEnd w:id="15"/>
    </w:p>
    <w:p w14:paraId="34A83C86" w14:textId="77777777" w:rsidR="005B52B8" w:rsidRDefault="006450B2" w:rsidP="005B52B8">
      <w:pPr>
        <w:pStyle w:val="references"/>
        <w:numPr>
          <w:ilvl w:val="0"/>
          <w:numId w:val="2"/>
        </w:numPr>
        <w:tabs>
          <w:tab w:val="num" w:pos="540"/>
        </w:tabs>
        <w:ind w:left="540" w:hanging="540"/>
      </w:pPr>
      <w:bookmarkStart w:id="16" w:name="_Ref498454497"/>
      <w:r>
        <w:t>Adaptive C</w:t>
      </w:r>
      <w:r>
        <w:t xml:space="preserve">omputing, “The Maui Job Scheduler,” 2017. Retrieved from </w:t>
      </w:r>
      <w:r w:rsidRPr="006450B2">
        <w:rPr>
          <w:i/>
        </w:rPr>
        <w:t>http://www.adaptivecomputing.com/products/open-source/maui/</w:t>
      </w:r>
      <w:r>
        <w:t>.</w:t>
      </w:r>
      <w:bookmarkStart w:id="17" w:name="_Ref498283040"/>
      <w:bookmarkEnd w:id="16"/>
      <w:bookmarkEnd w:id="9"/>
      <w:bookmarkEnd w:id="10"/>
    </w:p>
    <w:p w14:paraId="049FAF52" w14:textId="7603E10C" w:rsidR="005B52B8" w:rsidRPr="005B52B8" w:rsidRDefault="005B52B8" w:rsidP="005B52B8">
      <w:pPr>
        <w:pStyle w:val="references"/>
        <w:numPr>
          <w:ilvl w:val="0"/>
          <w:numId w:val="2"/>
        </w:numPr>
        <w:tabs>
          <w:tab w:val="num" w:pos="540"/>
        </w:tabs>
        <w:ind w:left="540" w:hanging="540"/>
      </w:pPr>
      <w:bookmarkStart w:id="18" w:name="_Ref498454854"/>
      <w:r w:rsidRPr="005B52B8">
        <w:t xml:space="preserve">M. Massie, “The Ganglia Monitoring System,” 2017. </w:t>
      </w:r>
      <w:r>
        <w:t xml:space="preserve">Retrieved from </w:t>
      </w:r>
      <w:r w:rsidRPr="005B52B8">
        <w:rPr>
          <w:i/>
        </w:rPr>
        <w:t>http://ganglia.info/</w:t>
      </w:r>
      <w:r w:rsidRPr="005B52B8">
        <w:t>.</w:t>
      </w:r>
      <w:bookmarkEnd w:id="18"/>
    </w:p>
    <w:p w14:paraId="12E7A523" w14:textId="7D158EB0" w:rsidR="00C76C52" w:rsidRPr="00BD424C" w:rsidRDefault="005B52B8" w:rsidP="005B52B8">
      <w:pPr>
        <w:pStyle w:val="references"/>
        <w:numPr>
          <w:ilvl w:val="0"/>
          <w:numId w:val="2"/>
        </w:numPr>
        <w:tabs>
          <w:tab w:val="num" w:pos="540"/>
        </w:tabs>
        <w:ind w:left="540" w:hanging="540"/>
      </w:pPr>
      <w:r>
        <w:t xml:space="preserve"> </w:t>
      </w:r>
      <w:bookmarkStart w:id="19" w:name="_Ref498454889"/>
      <w:r w:rsidR="00C76C52">
        <w:t xml:space="preserve">C. T. Yang, T. T. Chen, and S. Y. Chen, “Implementation of Monitoring and Information Service Using Ganglia and NWS for Grid Resource Brokers,” </w:t>
      </w:r>
      <w:r w:rsidR="00BD424C" w:rsidRPr="00BD424C">
        <w:rPr>
          <w:i/>
        </w:rPr>
        <w:t xml:space="preserve">Proceedings of the </w:t>
      </w:r>
      <w:r w:rsidR="00C76C52" w:rsidRPr="00BD424C">
        <w:rPr>
          <w:i/>
        </w:rPr>
        <w:t>2nd IEEE Asia-Pacific Service Computing Conference</w:t>
      </w:r>
      <w:r w:rsidR="00C76C52" w:rsidRPr="00BD424C">
        <w:t xml:space="preserve"> (APSCC 2007)</w:t>
      </w:r>
      <w:r w:rsidR="00C76C52">
        <w:t>, 2007, pp. 356–363.</w:t>
      </w:r>
      <w:r w:rsidR="00C76C52" w:rsidRPr="00C76C52">
        <w:t xml:space="preserve"> </w:t>
      </w:r>
      <w:r w:rsidR="00C76C52">
        <w:t xml:space="preserve">Retrieved from </w:t>
      </w:r>
      <w:r w:rsidR="00C76C52" w:rsidRPr="00BD424C">
        <w:rPr>
          <w:i/>
        </w:rPr>
        <w:t>https://doi.org/10.1109/APSCC.2007.74</w:t>
      </w:r>
      <w:r w:rsidR="00BD424C">
        <w:t>.</w:t>
      </w:r>
      <w:bookmarkEnd w:id="17"/>
      <w:bookmarkEnd w:id="19"/>
    </w:p>
    <w:p w14:paraId="07B38A98" w14:textId="23460AB1" w:rsidR="005D1043" w:rsidRPr="005D1043" w:rsidRDefault="005D1043" w:rsidP="00BD424C">
      <w:pPr>
        <w:pStyle w:val="references"/>
        <w:numPr>
          <w:ilvl w:val="0"/>
          <w:numId w:val="2"/>
        </w:numPr>
        <w:tabs>
          <w:tab w:val="num" w:pos="540"/>
        </w:tabs>
        <w:ind w:left="540" w:hanging="540"/>
      </w:pPr>
      <w:bookmarkStart w:id="20" w:name="_Ref498283062"/>
      <w:r w:rsidRPr="005D1043">
        <w:t xml:space="preserve">Y. Joshi, D. Sharma, U. Gaur, V. Kumar, and R. Kalmady, “Design of a Fault Tolerant Architecture for Private Cloud Computing Infrastructure,” </w:t>
      </w:r>
      <w:r w:rsidRPr="00BD424C">
        <w:rPr>
          <w:i/>
        </w:rPr>
        <w:t>Indian Journal of Science and Technology</w:t>
      </w:r>
      <w:r w:rsidRPr="005D1043">
        <w:t xml:space="preserve">, vol. 10, no. 4, 2017. </w:t>
      </w:r>
      <w:r>
        <w:t xml:space="preserve"> </w:t>
      </w:r>
      <w:r w:rsidR="00BD424C">
        <w:t xml:space="preserve">Retrieved from </w:t>
      </w:r>
      <w:r w:rsidR="00BD424C" w:rsidRPr="00BD424C">
        <w:rPr>
          <w:i/>
        </w:rPr>
        <w:t>https://doi.org/</w:t>
      </w:r>
      <w:r w:rsidRPr="00BD424C">
        <w:rPr>
          <w:i/>
        </w:rPr>
        <w:t>10.17485/ijst/2017/v10i4/110663</w:t>
      </w:r>
      <w:r w:rsidR="00170026">
        <w:t>.</w:t>
      </w:r>
      <w:bookmarkEnd w:id="20"/>
    </w:p>
    <w:p w14:paraId="1CF170D0" w14:textId="47E06C9C" w:rsidR="006A20AB" w:rsidRPr="006A20AB" w:rsidRDefault="006A20AB" w:rsidP="005D1043">
      <w:pPr>
        <w:pStyle w:val="References0"/>
        <w:spacing w:after="120"/>
        <w:ind w:left="720"/>
        <w:jc w:val="both"/>
        <w:rPr>
          <w:rFonts w:cs="Times New Roman"/>
          <w:szCs w:val="22"/>
        </w:rPr>
      </w:pPr>
    </w:p>
    <w:sectPr w:rsidR="006A20AB" w:rsidRPr="006A20AB" w:rsidSect="00052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278B" w14:textId="77777777" w:rsidR="00E05AE5" w:rsidRDefault="00E05AE5" w:rsidP="00052AC4">
      <w:pPr>
        <w:spacing w:after="0" w:line="240" w:lineRule="auto"/>
      </w:pPr>
      <w:r>
        <w:separator/>
      </w:r>
    </w:p>
  </w:endnote>
  <w:endnote w:type="continuationSeparator" w:id="0">
    <w:p w14:paraId="2F9A12B6" w14:textId="77777777" w:rsidR="00E05AE5" w:rsidRDefault="00E05AE5" w:rsidP="0005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E1B65" w14:textId="77777777" w:rsidR="00E05AE5" w:rsidRDefault="00E05AE5" w:rsidP="00052AC4">
      <w:pPr>
        <w:spacing w:after="0" w:line="240" w:lineRule="auto"/>
      </w:pPr>
      <w:r>
        <w:separator/>
      </w:r>
    </w:p>
  </w:footnote>
  <w:footnote w:type="continuationSeparator" w:id="0">
    <w:p w14:paraId="498ED201" w14:textId="77777777" w:rsidR="00E05AE5" w:rsidRDefault="00E05AE5" w:rsidP="00052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578"/>
    <w:multiLevelType w:val="hybridMultilevel"/>
    <w:tmpl w:val="B1F8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14E3"/>
    <w:multiLevelType w:val="hybridMultilevel"/>
    <w:tmpl w:val="6DE2E14E"/>
    <w:lvl w:ilvl="0" w:tplc="138AE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62"/>
    <w:rsid w:val="00052AC4"/>
    <w:rsid w:val="00062209"/>
    <w:rsid w:val="000776C4"/>
    <w:rsid w:val="000D0367"/>
    <w:rsid w:val="000F727E"/>
    <w:rsid w:val="00170026"/>
    <w:rsid w:val="001875B0"/>
    <w:rsid w:val="001C0D2A"/>
    <w:rsid w:val="001F1B9C"/>
    <w:rsid w:val="002618CE"/>
    <w:rsid w:val="002B09C3"/>
    <w:rsid w:val="002D46D1"/>
    <w:rsid w:val="00312D72"/>
    <w:rsid w:val="00322C53"/>
    <w:rsid w:val="003409F0"/>
    <w:rsid w:val="003C56F7"/>
    <w:rsid w:val="0040515D"/>
    <w:rsid w:val="00473244"/>
    <w:rsid w:val="00483F29"/>
    <w:rsid w:val="004A2196"/>
    <w:rsid w:val="004C69EC"/>
    <w:rsid w:val="00570962"/>
    <w:rsid w:val="005B52B8"/>
    <w:rsid w:val="005D1043"/>
    <w:rsid w:val="005F76FC"/>
    <w:rsid w:val="006450B2"/>
    <w:rsid w:val="006552B7"/>
    <w:rsid w:val="00661C6A"/>
    <w:rsid w:val="006A20AB"/>
    <w:rsid w:val="006B231E"/>
    <w:rsid w:val="006D04D9"/>
    <w:rsid w:val="007236B2"/>
    <w:rsid w:val="00741126"/>
    <w:rsid w:val="0075322E"/>
    <w:rsid w:val="007861F9"/>
    <w:rsid w:val="007E22BF"/>
    <w:rsid w:val="007F5953"/>
    <w:rsid w:val="00801658"/>
    <w:rsid w:val="0088223B"/>
    <w:rsid w:val="008C40D6"/>
    <w:rsid w:val="0090670E"/>
    <w:rsid w:val="00917A20"/>
    <w:rsid w:val="0092042C"/>
    <w:rsid w:val="00975103"/>
    <w:rsid w:val="009C62DA"/>
    <w:rsid w:val="009D0C0F"/>
    <w:rsid w:val="00A260E4"/>
    <w:rsid w:val="00A62001"/>
    <w:rsid w:val="00B91E6C"/>
    <w:rsid w:val="00BD424C"/>
    <w:rsid w:val="00C26D2E"/>
    <w:rsid w:val="00C44DD9"/>
    <w:rsid w:val="00C50E40"/>
    <w:rsid w:val="00C76C52"/>
    <w:rsid w:val="00C9191A"/>
    <w:rsid w:val="00D04C91"/>
    <w:rsid w:val="00D25C1B"/>
    <w:rsid w:val="00D52461"/>
    <w:rsid w:val="00D70331"/>
    <w:rsid w:val="00E05AE5"/>
    <w:rsid w:val="00E14C97"/>
    <w:rsid w:val="00E42210"/>
    <w:rsid w:val="00EC1487"/>
    <w:rsid w:val="00EF3A6A"/>
    <w:rsid w:val="00F03EE3"/>
    <w:rsid w:val="00F07C62"/>
    <w:rsid w:val="00F12CAF"/>
    <w:rsid w:val="00F30EEC"/>
    <w:rsid w:val="00F7316E"/>
    <w:rsid w:val="00F83C8D"/>
    <w:rsid w:val="00FB4DA3"/>
    <w:rsid w:val="00FD070F"/>
    <w:rsid w:val="00FF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310228"/>
  <w15:chartTrackingRefBased/>
  <w15:docId w15:val="{85D223AD-4793-4756-88EE-74ABB8E5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C9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14C97"/>
    <w:rPr>
      <w:color w:val="0563C1" w:themeColor="hyperlink"/>
      <w:u w:val="single"/>
    </w:rPr>
  </w:style>
  <w:style w:type="character" w:customStyle="1" w:styleId="go">
    <w:name w:val="go"/>
    <w:basedOn w:val="DefaultParagraphFont"/>
    <w:rsid w:val="00E14C97"/>
  </w:style>
  <w:style w:type="paragraph" w:styleId="BalloonText">
    <w:name w:val="Balloon Text"/>
    <w:basedOn w:val="Normal"/>
    <w:link w:val="BalloonTextChar"/>
    <w:uiPriority w:val="99"/>
    <w:semiHidden/>
    <w:unhideWhenUsed/>
    <w:rsid w:val="005F76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6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F76FC"/>
    <w:rPr>
      <w:sz w:val="18"/>
      <w:szCs w:val="18"/>
    </w:rPr>
  </w:style>
  <w:style w:type="paragraph" w:styleId="CommentText">
    <w:name w:val="annotation text"/>
    <w:basedOn w:val="Normal"/>
    <w:link w:val="CommentTextChar"/>
    <w:uiPriority w:val="99"/>
    <w:semiHidden/>
    <w:unhideWhenUsed/>
    <w:rsid w:val="005F76FC"/>
    <w:pPr>
      <w:spacing w:line="240" w:lineRule="auto"/>
    </w:pPr>
    <w:rPr>
      <w:sz w:val="24"/>
      <w:szCs w:val="24"/>
    </w:rPr>
  </w:style>
  <w:style w:type="character" w:customStyle="1" w:styleId="CommentTextChar">
    <w:name w:val="Comment Text Char"/>
    <w:basedOn w:val="DefaultParagraphFont"/>
    <w:link w:val="CommentText"/>
    <w:uiPriority w:val="99"/>
    <w:semiHidden/>
    <w:rsid w:val="005F76FC"/>
    <w:rPr>
      <w:sz w:val="24"/>
      <w:szCs w:val="24"/>
    </w:rPr>
  </w:style>
  <w:style w:type="paragraph" w:styleId="CommentSubject">
    <w:name w:val="annotation subject"/>
    <w:basedOn w:val="CommentText"/>
    <w:next w:val="CommentText"/>
    <w:link w:val="CommentSubjectChar"/>
    <w:uiPriority w:val="99"/>
    <w:semiHidden/>
    <w:unhideWhenUsed/>
    <w:rsid w:val="005F76FC"/>
    <w:rPr>
      <w:b/>
      <w:bCs/>
      <w:sz w:val="20"/>
      <w:szCs w:val="20"/>
    </w:rPr>
  </w:style>
  <w:style w:type="character" w:customStyle="1" w:styleId="CommentSubjectChar">
    <w:name w:val="Comment Subject Char"/>
    <w:basedOn w:val="CommentTextChar"/>
    <w:link w:val="CommentSubject"/>
    <w:uiPriority w:val="99"/>
    <w:semiHidden/>
    <w:rsid w:val="005F76FC"/>
    <w:rPr>
      <w:b/>
      <w:bCs/>
      <w:sz w:val="20"/>
      <w:szCs w:val="20"/>
    </w:rPr>
  </w:style>
  <w:style w:type="paragraph" w:customStyle="1" w:styleId="GrantHead3">
    <w:name w:val="GrantHead3"/>
    <w:basedOn w:val="Normal"/>
    <w:link w:val="GrantHead3Char"/>
    <w:qFormat/>
    <w:rsid w:val="00052AC4"/>
    <w:pPr>
      <w:spacing w:after="120" w:line="240" w:lineRule="auto"/>
      <w:jc w:val="both"/>
    </w:pPr>
    <w:rPr>
      <w:rFonts w:ascii="Arial" w:eastAsia="Calibri" w:hAnsi="Arial" w:cs="Arial"/>
      <w:b/>
      <w:i/>
    </w:rPr>
  </w:style>
  <w:style w:type="character" w:customStyle="1" w:styleId="GrantHead3Char">
    <w:name w:val="GrantHead3 Char"/>
    <w:link w:val="GrantHead3"/>
    <w:rsid w:val="00052AC4"/>
    <w:rPr>
      <w:rFonts w:ascii="Arial" w:eastAsia="Calibri" w:hAnsi="Arial" w:cs="Arial"/>
      <w:b/>
      <w:i/>
    </w:rPr>
  </w:style>
  <w:style w:type="paragraph" w:styleId="ListParagraph">
    <w:name w:val="List Paragraph"/>
    <w:basedOn w:val="Normal"/>
    <w:uiPriority w:val="34"/>
    <w:qFormat/>
    <w:rsid w:val="00052AC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2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C4"/>
  </w:style>
  <w:style w:type="paragraph" w:styleId="Footer">
    <w:name w:val="footer"/>
    <w:basedOn w:val="Normal"/>
    <w:link w:val="FooterChar"/>
    <w:uiPriority w:val="99"/>
    <w:unhideWhenUsed/>
    <w:rsid w:val="00052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C4"/>
  </w:style>
  <w:style w:type="paragraph" w:customStyle="1" w:styleId="References0">
    <w:name w:val="References"/>
    <w:basedOn w:val="Normal"/>
    <w:qFormat/>
    <w:rsid w:val="006A20AB"/>
    <w:pPr>
      <w:spacing w:after="240" w:line="240" w:lineRule="auto"/>
    </w:pPr>
    <w:rPr>
      <w:rFonts w:ascii="Times New Roman" w:hAnsi="Times New Roman"/>
      <w:szCs w:val="24"/>
    </w:rPr>
  </w:style>
  <w:style w:type="character" w:customStyle="1" w:styleId="m8579349463229407725gmail-s1">
    <w:name w:val="m_8579349463229407725gmail-s1"/>
    <w:basedOn w:val="DefaultParagraphFont"/>
    <w:rsid w:val="006A20AB"/>
  </w:style>
  <w:style w:type="character" w:customStyle="1" w:styleId="m8579349463229407725gmail-apple-converted-space">
    <w:name w:val="m_8579349463229407725gmail-apple-converted-space"/>
    <w:basedOn w:val="DefaultParagraphFont"/>
    <w:rsid w:val="006A20AB"/>
  </w:style>
  <w:style w:type="character" w:styleId="Emphasis">
    <w:name w:val="Emphasis"/>
    <w:basedOn w:val="DefaultParagraphFont"/>
    <w:uiPriority w:val="20"/>
    <w:qFormat/>
    <w:rsid w:val="00B91E6C"/>
    <w:rPr>
      <w:i/>
      <w:iCs/>
    </w:rPr>
  </w:style>
  <w:style w:type="paragraph" w:customStyle="1" w:styleId="references">
    <w:name w:val="references"/>
    <w:rsid w:val="00BD424C"/>
    <w:pPr>
      <w:numPr>
        <w:numId w:val="3"/>
      </w:numPr>
      <w:spacing w:after="120" w:line="240" w:lineRule="auto"/>
      <w:jc w:val="both"/>
    </w:pPr>
    <w:rPr>
      <w:rFonts w:ascii="Times New Roman" w:eastAsia="MS Mincho" w:hAnsi="Times New Roman" w:cs="Times New Roman"/>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420">
      <w:bodyDiv w:val="1"/>
      <w:marLeft w:val="0"/>
      <w:marRight w:val="0"/>
      <w:marTop w:val="0"/>
      <w:marBottom w:val="0"/>
      <w:divBdr>
        <w:top w:val="none" w:sz="0" w:space="0" w:color="auto"/>
        <w:left w:val="none" w:sz="0" w:space="0" w:color="auto"/>
        <w:bottom w:val="none" w:sz="0" w:space="0" w:color="auto"/>
        <w:right w:val="none" w:sz="0" w:space="0" w:color="auto"/>
      </w:divBdr>
    </w:div>
    <w:div w:id="762262373">
      <w:bodyDiv w:val="1"/>
      <w:marLeft w:val="0"/>
      <w:marRight w:val="0"/>
      <w:marTop w:val="0"/>
      <w:marBottom w:val="0"/>
      <w:divBdr>
        <w:top w:val="none" w:sz="0" w:space="0" w:color="auto"/>
        <w:left w:val="none" w:sz="0" w:space="0" w:color="auto"/>
        <w:bottom w:val="none" w:sz="0" w:space="0" w:color="auto"/>
        <w:right w:val="none" w:sz="0" w:space="0" w:color="auto"/>
      </w:divBdr>
    </w:div>
    <w:div w:id="979967332">
      <w:bodyDiv w:val="1"/>
      <w:marLeft w:val="0"/>
      <w:marRight w:val="0"/>
      <w:marTop w:val="0"/>
      <w:marBottom w:val="0"/>
      <w:divBdr>
        <w:top w:val="none" w:sz="0" w:space="0" w:color="auto"/>
        <w:left w:val="none" w:sz="0" w:space="0" w:color="auto"/>
        <w:bottom w:val="none" w:sz="0" w:space="0" w:color="auto"/>
        <w:right w:val="none" w:sz="0" w:space="0" w:color="auto"/>
      </w:divBdr>
    </w:div>
    <w:div w:id="1197158429">
      <w:bodyDiv w:val="1"/>
      <w:marLeft w:val="0"/>
      <w:marRight w:val="0"/>
      <w:marTop w:val="0"/>
      <w:marBottom w:val="0"/>
      <w:divBdr>
        <w:top w:val="none" w:sz="0" w:space="0" w:color="auto"/>
        <w:left w:val="none" w:sz="0" w:space="0" w:color="auto"/>
        <w:bottom w:val="none" w:sz="0" w:space="0" w:color="auto"/>
        <w:right w:val="none" w:sz="0" w:space="0" w:color="auto"/>
      </w:divBdr>
    </w:div>
    <w:div w:id="1207058447">
      <w:bodyDiv w:val="1"/>
      <w:marLeft w:val="0"/>
      <w:marRight w:val="0"/>
      <w:marTop w:val="0"/>
      <w:marBottom w:val="0"/>
      <w:divBdr>
        <w:top w:val="none" w:sz="0" w:space="0" w:color="auto"/>
        <w:left w:val="none" w:sz="0" w:space="0" w:color="auto"/>
        <w:bottom w:val="none" w:sz="0" w:space="0" w:color="auto"/>
        <w:right w:val="none" w:sz="0" w:space="0" w:color="auto"/>
      </w:divBdr>
    </w:div>
    <w:div w:id="1311448589">
      <w:bodyDiv w:val="1"/>
      <w:marLeft w:val="0"/>
      <w:marRight w:val="0"/>
      <w:marTop w:val="0"/>
      <w:marBottom w:val="0"/>
      <w:divBdr>
        <w:top w:val="none" w:sz="0" w:space="0" w:color="auto"/>
        <w:left w:val="none" w:sz="0" w:space="0" w:color="auto"/>
        <w:bottom w:val="none" w:sz="0" w:space="0" w:color="auto"/>
        <w:right w:val="none" w:sz="0" w:space="0" w:color="auto"/>
      </w:divBdr>
    </w:div>
    <w:div w:id="1354112099">
      <w:bodyDiv w:val="1"/>
      <w:marLeft w:val="0"/>
      <w:marRight w:val="0"/>
      <w:marTop w:val="0"/>
      <w:marBottom w:val="0"/>
      <w:divBdr>
        <w:top w:val="none" w:sz="0" w:space="0" w:color="auto"/>
        <w:left w:val="none" w:sz="0" w:space="0" w:color="auto"/>
        <w:bottom w:val="none" w:sz="0" w:space="0" w:color="auto"/>
        <w:right w:val="none" w:sz="0" w:space="0" w:color="auto"/>
      </w:divBdr>
    </w:div>
    <w:div w:id="1562784525">
      <w:bodyDiv w:val="1"/>
      <w:marLeft w:val="0"/>
      <w:marRight w:val="0"/>
      <w:marTop w:val="0"/>
      <w:marBottom w:val="0"/>
      <w:divBdr>
        <w:top w:val="none" w:sz="0" w:space="0" w:color="auto"/>
        <w:left w:val="none" w:sz="0" w:space="0" w:color="auto"/>
        <w:bottom w:val="none" w:sz="0" w:space="0" w:color="auto"/>
        <w:right w:val="none" w:sz="0" w:space="0" w:color="auto"/>
      </w:divBdr>
    </w:div>
    <w:div w:id="1970160240">
      <w:bodyDiv w:val="1"/>
      <w:marLeft w:val="0"/>
      <w:marRight w:val="0"/>
      <w:marTop w:val="0"/>
      <w:marBottom w:val="0"/>
      <w:divBdr>
        <w:top w:val="none" w:sz="0" w:space="0" w:color="auto"/>
        <w:left w:val="none" w:sz="0" w:space="0" w:color="auto"/>
        <w:bottom w:val="none" w:sz="0" w:space="0" w:color="auto"/>
        <w:right w:val="none" w:sz="0" w:space="0" w:color="auto"/>
      </w:divBdr>
    </w:div>
    <w:div w:id="1971278510">
      <w:bodyDiv w:val="1"/>
      <w:marLeft w:val="0"/>
      <w:marRight w:val="0"/>
      <w:marTop w:val="0"/>
      <w:marBottom w:val="0"/>
      <w:divBdr>
        <w:top w:val="none" w:sz="0" w:space="0" w:color="auto"/>
        <w:left w:val="none" w:sz="0" w:space="0" w:color="auto"/>
        <w:bottom w:val="none" w:sz="0" w:space="0" w:color="auto"/>
        <w:right w:val="none" w:sz="0" w:space="0" w:color="auto"/>
      </w:divBdr>
      <w:divsChild>
        <w:div w:id="2026053537">
          <w:marLeft w:val="0"/>
          <w:marRight w:val="0"/>
          <w:marTop w:val="0"/>
          <w:marBottom w:val="0"/>
          <w:divBdr>
            <w:top w:val="none" w:sz="0" w:space="0" w:color="auto"/>
            <w:left w:val="none" w:sz="0" w:space="0" w:color="auto"/>
            <w:bottom w:val="none" w:sz="0" w:space="0" w:color="auto"/>
            <w:right w:val="none" w:sz="0" w:space="0" w:color="auto"/>
          </w:divBdr>
          <w:divsChild>
            <w:div w:id="760492929">
              <w:marLeft w:val="0"/>
              <w:marRight w:val="0"/>
              <w:marTop w:val="0"/>
              <w:marBottom w:val="0"/>
              <w:divBdr>
                <w:top w:val="none" w:sz="0" w:space="0" w:color="auto"/>
                <w:left w:val="none" w:sz="0" w:space="0" w:color="auto"/>
                <w:bottom w:val="none" w:sz="0" w:space="0" w:color="auto"/>
                <w:right w:val="none" w:sz="0" w:space="0" w:color="auto"/>
              </w:divBdr>
              <w:divsChild>
                <w:div w:id="1715229176">
                  <w:marLeft w:val="0"/>
                  <w:marRight w:val="0"/>
                  <w:marTop w:val="0"/>
                  <w:marBottom w:val="0"/>
                  <w:divBdr>
                    <w:top w:val="none" w:sz="0" w:space="0" w:color="auto"/>
                    <w:left w:val="none" w:sz="0" w:space="0" w:color="auto"/>
                    <w:bottom w:val="none" w:sz="0" w:space="0" w:color="auto"/>
                    <w:right w:val="none" w:sz="0" w:space="0" w:color="auto"/>
                  </w:divBdr>
                  <w:divsChild>
                    <w:div w:id="1652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6BB8-4EE5-6946-A354-0B6A4C6A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1188</Words>
  <Characters>5148</Characters>
  <Application>Microsoft Macintosh Word</Application>
  <DocSecurity>0</DocSecurity>
  <Lines>147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Campbell</dc:creator>
  <cp:keywords/>
  <dc:description/>
  <cp:lastModifiedBy>Joseph Picone</cp:lastModifiedBy>
  <cp:revision>8</cp:revision>
  <dcterms:created xsi:type="dcterms:W3CDTF">2017-11-15T00:21:00Z</dcterms:created>
  <dcterms:modified xsi:type="dcterms:W3CDTF">2017-11-15T01:47:00Z</dcterms:modified>
</cp:coreProperties>
</file>