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proofErr w:type="gramStart"/>
      <w:r w:rsidRPr="00771DC9">
        <w:t>john.steinberg@temple.edu</w:t>
      </w:r>
      <w:proofErr w:type="gramEnd"/>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77777777" w:rsidR="00EE28EB" w:rsidRPr="0033735D" w:rsidRDefault="00EE28EB" w:rsidP="00B04E65">
      <w:pPr>
        <w:pStyle w:val="Heading1"/>
      </w:pPr>
      <w:r w:rsidRPr="0033735D">
        <w:t>Introduction</w:t>
      </w:r>
    </w:p>
    <w:p w14:paraId="2F35F90B" w14:textId="4C732124"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992094">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itself</w:t>
      </w:r>
      <w:r w:rsidR="005B52FC">
        <w:t> </w:t>
      </w:r>
      <w:r w:rsidR="009F58C0">
        <w:fldChar w:fldCharType="begin"/>
      </w:r>
      <w:r w:rsidR="009F58C0">
        <w:instrText xml:space="preserve"> REF _Ref225082960 \r </w:instrText>
      </w:r>
      <w:r w:rsidR="009F58C0">
        <w:fldChar w:fldCharType="separate"/>
      </w:r>
      <w:r w:rsidR="00992094">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074D65DB"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992094">
        <w:t>Figure </w:t>
      </w:r>
      <w:r w:rsidR="00992094">
        <w:rPr>
          <w:noProof/>
        </w:rPr>
        <w:t>1</w:t>
      </w:r>
      <w:r>
        <w:fldChar w:fldCharType="end"/>
      </w:r>
      <w:r>
        <w:t xml:space="preserve">. In this representation a stick of uniform length is broken repeatedly. Each break represents a new mixture component 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45E09AC0" w:rsidR="005777D3" w:rsidRDefault="005777D3" w:rsidP="003D12EA">
      <w:pPr>
        <w:pStyle w:val="BodyTextNext"/>
      </w:pPr>
      <w:r>
        <w:lastRenderedPageBreak/>
        <w:t xml:space="preserve">Aside from the 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C66BCE">
        <w:t>[2]</w:t>
      </w:r>
      <w:r w:rsidR="00C66BCE">
        <w:fldChar w:fldCharType="end"/>
      </w:r>
      <w:r w:rsidR="00C66BCE">
        <w:fldChar w:fldCharType="begin"/>
      </w:r>
      <w:r w:rsidR="00C66BCE">
        <w:instrText xml:space="preserve"> REF _Ref351731461 \r </w:instrText>
      </w:r>
      <w:r w:rsidR="00C66BCE">
        <w:fldChar w:fldCharType="separate"/>
      </w:r>
      <w:r w:rsidR="00C66BCE">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rsidP="00EC7C00">
      <w:pPr>
        <w:pStyle w:val="Heading2"/>
      </w:pPr>
      <w:r>
        <w:t>Variational Inference Algorithms</w:t>
      </w:r>
    </w:p>
    <w:p w14:paraId="561A6A07" w14:textId="5EE256EE"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992094">
        <w:t>[4]</w:t>
      </w:r>
      <w:r w:rsidR="002866BF">
        <w:fldChar w:fldCharType="end"/>
      </w:r>
      <w:r w:rsidR="005B52FC">
        <w:t>-</w:t>
      </w:r>
      <w:r w:rsidR="003A79F3">
        <w:fldChar w:fldCharType="begin"/>
      </w:r>
      <w:r w:rsidR="003A79F3">
        <w:instrText xml:space="preserve"> REF _Ref349996343 \r </w:instrText>
      </w:r>
      <w:r w:rsidR="003A79F3">
        <w:fldChar w:fldCharType="separate"/>
      </w:r>
      <w:r w:rsidR="00992094">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w:t>
      </w:r>
      <w:proofErr w:type="gramStart"/>
      <w:r w:rsidR="00EB4B11">
        <w:t>chain which</w:t>
      </w:r>
      <w:proofErr w:type="gramEnd"/>
      <w:r w:rsidR="00EB4B11">
        <w:t xml:space="preserve"> represents the distribution of interest </w:t>
      </w:r>
      <w:r w:rsidR="00D62750">
        <w:fldChar w:fldCharType="begin"/>
      </w:r>
      <w:r w:rsidR="00D62750">
        <w:instrText xml:space="preserve"> REF _Ref351535794 \r </w:instrText>
      </w:r>
      <w:r w:rsidR="00D62750">
        <w:fldChar w:fldCharType="separate"/>
      </w:r>
      <w:r w:rsidR="00992094">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992094">
        <w:t>[5]</w:t>
      </w:r>
      <w:r w:rsidR="00D62750">
        <w:fldChar w:fldCharType="end"/>
      </w:r>
      <w:r w:rsidR="00D62750">
        <w:fldChar w:fldCharType="begin"/>
      </w:r>
      <w:r w:rsidR="00D62750">
        <w:instrText xml:space="preserve"> REF _Ref351535794 \r </w:instrText>
      </w:r>
      <w:r w:rsidR="00D62750">
        <w:fldChar w:fldCharType="separate"/>
      </w:r>
      <w:r w:rsidR="00992094">
        <w:t>[7]</w:t>
      </w:r>
      <w:r w:rsidR="00D62750">
        <w:fldChar w:fldCharType="end"/>
      </w:r>
      <w:r w:rsidR="00DA6682">
        <w:t>.</w:t>
      </w:r>
      <w:r w:rsidR="004B7EC1">
        <w:t xml:space="preserve"> </w:t>
      </w:r>
    </w:p>
    <w:p w14:paraId="31FA75E0" w14:textId="2C2DC8AC"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EF1605">
        <w:t>In this work</w:t>
      </w:r>
      <w:r w:rsidR="00BA638E">
        <w:t xml:space="preserve"> </w:t>
      </w:r>
      <w:r w:rsidR="00EF1605">
        <w:t>three</w:t>
      </w:r>
      <w:r w:rsidR="00BA638E">
        <w:t xml:space="preserve"> </w:t>
      </w:r>
      <w:r>
        <w:t xml:space="preserve">relatively </w:t>
      </w:r>
      <w:r w:rsidR="00BA638E">
        <w:t>new</w:t>
      </w:r>
      <w:r w:rsidR="00EF1605">
        <w:t xml:space="preserve"> </w:t>
      </w:r>
      <w:r>
        <w:t xml:space="preserve">computationally efficient </w:t>
      </w:r>
      <w:r w:rsidR="00EF1605">
        <w:t>variational inference algorithms</w:t>
      </w:r>
      <w:r>
        <w:t xml:space="preserve"> were evaluated: </w:t>
      </w:r>
      <w:r w:rsidR="00BA638E">
        <w:t xml:space="preserve">AVDPM, CVSB, and CDP </w:t>
      </w:r>
      <w:r w:rsidR="00D62750">
        <w:fldChar w:fldCharType="begin"/>
      </w:r>
      <w:r w:rsidR="00D62750">
        <w:instrText xml:space="preserve"> REF _Ref351536319 \r </w:instrText>
      </w:r>
      <w:r w:rsidR="00D62750">
        <w:fldChar w:fldCharType="separate"/>
      </w:r>
      <w:r w:rsidR="00992094">
        <w:t>[2]</w:t>
      </w:r>
      <w:r w:rsidR="00D62750">
        <w:fldChar w:fldCharType="end"/>
      </w:r>
      <w:r w:rsidR="00BA638E">
        <w:fldChar w:fldCharType="begin"/>
      </w:r>
      <w:r w:rsidR="00BA638E">
        <w:instrText xml:space="preserve"> REF _Ref349238832 \r </w:instrText>
      </w:r>
      <w:r w:rsidR="00BA638E">
        <w:fldChar w:fldCharType="separate"/>
      </w:r>
      <w:r w:rsidR="00992094">
        <w:t>[3]</w:t>
      </w:r>
      <w:r w:rsidR="00BA638E">
        <w:fldChar w:fldCharType="end"/>
      </w:r>
      <w:r>
        <w:t>.</w:t>
      </w:r>
      <w:r w:rsidR="00EF1605">
        <w:t xml:space="preserve"> </w:t>
      </w:r>
    </w:p>
    <w:p w14:paraId="7088E76A" w14:textId="04F2142A" w:rsidR="00EF1605" w:rsidRDefault="00EF1605" w:rsidP="00EF1605">
      <w:pPr>
        <w:pStyle w:val="Heading2"/>
      </w:pPr>
      <w:r>
        <w:lastRenderedPageBreak/>
        <w:t xml:space="preserve">English </w:t>
      </w:r>
      <w:r w:rsidR="00BA638E">
        <w:t>and</w:t>
      </w:r>
      <w:r>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992094">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992094">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992094">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426338F7" w:rsidR="00EE28EB" w:rsidRPr="0033735D" w:rsidRDefault="00441D7B" w:rsidP="00B04E65">
      <w:pPr>
        <w:pStyle w:val="Heading1"/>
      </w:pPr>
      <w:r>
        <w:t>Nonparametric Bayesian Approaches</w:t>
      </w:r>
    </w:p>
    <w:p w14:paraId="15DE44C5" w14:textId="0B30B976"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26006C">
        <w:t>Dirichlet process mixtures</w:t>
      </w:r>
      <w:r w:rsidR="00441D7B">
        <w:t>, is provided.</w:t>
      </w:r>
      <w:r>
        <w:t xml:space="preserve"> </w:t>
      </w:r>
    </w:p>
    <w:p w14:paraId="0B00EE65" w14:textId="17086FFA" w:rsidR="00C6654E" w:rsidRDefault="00C6654E" w:rsidP="00C6654E">
      <w:pPr>
        <w:pStyle w:val="Heading2"/>
      </w:pPr>
      <w:r>
        <w:t xml:space="preserve">Dirichlet Distributions and Dirichlet Processes </w:t>
      </w:r>
    </w:p>
    <w:p w14:paraId="3DC64E57" w14:textId="6F2CEDB5" w:rsidR="00771D7B" w:rsidRDefault="004C7659" w:rsidP="00C6654E">
      <w:pPr>
        <w:pStyle w:val="BodyText"/>
      </w:pPr>
      <w:r>
        <w:rPr>
          <w:noProof/>
        </w:rPr>
        <mc:AlternateContent>
          <mc:Choice Requires="wps">
            <w:drawing>
              <wp:anchor distT="91440" distB="0" distL="0" distR="0" simplePos="0" relativeHeight="251660800" behindDoc="0" locked="0" layoutInCell="0" allowOverlap="0" wp14:anchorId="0F3C16FA" wp14:editId="590FF791">
                <wp:simplePos x="0" y="0"/>
                <wp:positionH relativeFrom="margin">
                  <wp:align>right</wp:align>
                </wp:positionH>
                <wp:positionV relativeFrom="margin">
                  <wp:align>bottom</wp:align>
                </wp:positionV>
                <wp:extent cx="2843530" cy="2390775"/>
                <wp:effectExtent l="0" t="0" r="0" b="952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4"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4"/>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7pt;margin-top:0;width:223.9pt;height:188.2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5"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5154A3CE"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59E26DB9" w:rsidR="00771D7B" w:rsidRDefault="00771D7B" w:rsidP="003D12EA">
      <w:pPr>
        <w:pStyle w:val="BodyTextNext"/>
      </w:pPr>
      <w:r>
        <w:t xml:space="preserve">A Dirichlet distribution 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8pt;height:28pt" o:ole="">
            <v:imagedata r:id="rId12" o:title=""/>
          </v:shape>
          <o:OLEObject Type="Embed" ProgID="Equation.DSMT4" ShapeID="_x0000_i1049" DrawAspect="Content" ObjectID="_1299352555"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992094">
          <w:rPr>
            <w:noProof/>
          </w:rPr>
          <w:instrText>1</w:instrText>
        </w:r>
      </w:fldSimple>
      <w:r>
        <w:instrText>)</w:instrText>
      </w:r>
      <w:r>
        <w:fldChar w:fldCharType="end"/>
      </w:r>
    </w:p>
    <w:p w14:paraId="4B082CBF" w14:textId="056E91E3" w:rsidR="00706940" w:rsidRDefault="00A17B0E" w:rsidP="003919B4">
      <w:pPr>
        <w:pStyle w:val="BodyText"/>
      </w:pPr>
      <w:proofErr w:type="gramStart"/>
      <w:r>
        <w:lastRenderedPageBreak/>
        <w:t>w</w:t>
      </w:r>
      <w:r w:rsidR="00DE0B29" w:rsidRPr="00DE0B29">
        <w:t>here</w:t>
      </w:r>
      <w:proofErr w:type="gramEnd"/>
      <w:r w:rsidR="00DE0B29" w:rsidRPr="00DE0B29">
        <w:t xml:space="preserv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50" type="#_x0000_t75" style="width:40.5pt;height:17pt" o:ole="">
            <v:imagedata r:id="rId14" o:title=""/>
          </v:shape>
          <o:OLEObject Type="Embed" ProgID="Equation.DSMT4" ShapeID="_x0000_i1050" DrawAspect="Content" ObjectID="_1299352556" r:id="rId15"/>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51" type="#_x0000_t75" style="width:46pt;height:18pt" o:ole="">
            <v:imagedata r:id="rId16" o:title=""/>
          </v:shape>
          <o:OLEObject Type="Embed" ProgID="Equation.DSMT4" ShapeID="_x0000_i1051" DrawAspect="Content" ObjectID="_1299352557" r:id="rId17"/>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1B0CA55E" w:rsidR="007C03D4" w:rsidRPr="007C03D4" w:rsidRDefault="00E4355B" w:rsidP="003D12EA">
      <w:pPr>
        <w:pStyle w:val="BodyTextNext"/>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r w:rsidR="00992094">
        <w:t xml:space="preserve">Figure </w:t>
      </w:r>
      <w:r w:rsidR="00992094">
        <w:rPr>
          <w:noProof/>
        </w:rPr>
        <w:t>2</w:t>
      </w:r>
      <w:r w:rsidR="00441D7B">
        <w:fldChar w:fldCharType="end"/>
      </w:r>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 xml:space="preserve">Although there are many representations of Dirichlet processes,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992094">
        <w:t>Figure </w:t>
      </w:r>
      <w:r w:rsidR="00992094">
        <w:rPr>
          <w:noProof/>
        </w:rPr>
        <w:t>1</w:t>
      </w:r>
      <w:r w:rsidR="00823BCB">
        <w:fldChar w:fldCharType="end"/>
      </w:r>
      <w:r w:rsidR="007C03D4">
        <w:t>.</w:t>
      </w:r>
      <w:r w:rsidR="00840B2D">
        <w:t xml:space="preserve"> </w:t>
      </w:r>
    </w:p>
    <w:p w14:paraId="1B4A816B" w14:textId="77777777" w:rsidR="006C3A66" w:rsidRDefault="006C3A66" w:rsidP="006C3A66">
      <w:pPr>
        <w:pStyle w:val="Heading2"/>
      </w:pPr>
      <w:r>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992094">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992094">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992094">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7B61CC36"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 xml:space="preserve">to organize the data by partitioning them across hyperplanes in the feature vectors.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w:t>
      </w:r>
      <w:r w:rsidR="00EB0C06">
        <w:lastRenderedPageBreak/>
        <w:t xml:space="preserve">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992094">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52" type="#_x0000_t75" style="width:164pt;height:26pt" o:ole="">
            <v:imagedata r:id="rId18" o:title=""/>
          </v:shape>
          <o:OLEObject Type="Embed" ProgID="Equation.DSMT4" ShapeID="_x0000_i1052" DrawAspect="Content" ObjectID="_1299352558" r:id="rId19"/>
        </w:object>
      </w:r>
      <w:r w:rsidR="00413034">
        <w:tab/>
      </w:r>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6" w:name="ZEqnNum623509"/>
      <w:r w:rsidR="00413034">
        <w:instrText>(</w:instrText>
      </w:r>
      <w:fldSimple w:instr=" SEQ MTEqn \c \* Arabic \* MERGEFORMAT ">
        <w:r w:rsidR="00992094">
          <w:rPr>
            <w:noProof/>
          </w:rPr>
          <w:instrText>2</w:instrText>
        </w:r>
      </w:fldSimple>
      <w:r w:rsidR="00413034">
        <w:instrText>)</w:instrText>
      </w:r>
      <w:bookmarkEnd w:id="6"/>
      <w:r w:rsidR="00413034">
        <w:fldChar w:fldCharType="end"/>
      </w:r>
    </w:p>
    <w:p w14:paraId="0DFCDF2C" w14:textId="43491CBD" w:rsidR="005008EE" w:rsidRPr="005008EE" w:rsidRDefault="005008EE" w:rsidP="003D12EA">
      <w:pPr>
        <w:pStyle w:val="BodyTextNext"/>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rsidP="003D12EA">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42645B">
        <w:t>[2]</w:t>
      </w:r>
      <w:r w:rsidR="009F58C0">
        <w:fldChar w:fldCharType="end"/>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53" type="#_x0000_t75" style="width:141.5pt;height:27.5pt" o:ole="">
            <v:imagedata r:id="rId20" o:title=""/>
          </v:shape>
          <o:OLEObject Type="Embed" ProgID="Equation.DSMT4" ShapeID="_x0000_i1053" DrawAspect="Content" ObjectID="_1299352559" r:id="rId21"/>
        </w:object>
      </w:r>
      <w:r w:rsidR="00413034">
        <w:tab/>
      </w:r>
      <w:bookmarkStart w:id="7" w:name="cvsb"/>
      <w:r w:rsidR="00413034">
        <w:fldChar w:fldCharType="begin"/>
      </w:r>
      <w:r w:rsidR="00413034">
        <w:instrText xml:space="preserve"> MACROBUTTON MTPlaceRef \* MERGEFORMAT </w:instrText>
      </w:r>
      <w:r w:rsidR="00413034">
        <w:fldChar w:fldCharType="begin"/>
      </w:r>
      <w:r w:rsidR="00413034">
        <w:instrText xml:space="preserve"> SEQ MTEqn \h \* MERGEFORMAT </w:instrText>
      </w:r>
      <w:r w:rsidR="00413034">
        <w:fldChar w:fldCharType="end"/>
      </w:r>
      <w:bookmarkStart w:id="8" w:name="ZEqnNum220842"/>
      <w:r w:rsidR="00413034">
        <w:instrText>(</w:instrText>
      </w:r>
      <w:fldSimple w:instr=" SEQ MTEqn \c \* Arabic \* MERGEFORMAT ">
        <w:r w:rsidR="00992094">
          <w:rPr>
            <w:noProof/>
          </w:rPr>
          <w:instrText>3</w:instrText>
        </w:r>
      </w:fldSimple>
      <w:r w:rsidR="00413034">
        <w:instrText>)</w:instrText>
      </w:r>
      <w:bookmarkEnd w:id="8"/>
      <w:r w:rsidR="00413034">
        <w:fldChar w:fldCharType="end"/>
      </w:r>
      <w:bookmarkEnd w:id="7"/>
    </w:p>
    <w:p w14:paraId="497A777C" w14:textId="569709DB"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42645B">
        <w:t>[2]</w:t>
      </w:r>
      <w:r w:rsidR="0042645B">
        <w:fldChar w:fldCharType="end"/>
      </w:r>
      <w:r w:rsidR="009F3DEB">
        <w:t>:</w:t>
      </w:r>
    </w:p>
    <w:p w14:paraId="7A46BF50" w14:textId="288317D4" w:rsidR="004010BD" w:rsidRDefault="00526205" w:rsidP="006E786A">
      <w:pPr>
        <w:pStyle w:val="MTDisplayEquation"/>
      </w:pPr>
      <w:r>
        <w:tab/>
      </w:r>
      <w:r w:rsidR="002433F2" w:rsidRPr="00E665EC">
        <w:rPr>
          <w:position w:val="-26"/>
        </w:rPr>
        <w:object w:dxaOrig="3120" w:dyaOrig="620" w14:anchorId="58A76C43">
          <v:shape id="_x0000_i1054" type="#_x0000_t75" style="width:153pt;height:30pt" o:ole="">
            <v:imagedata r:id="rId22" o:title=""/>
          </v:shape>
          <o:OLEObject Type="Embed" ProgID="Equation.DSMT4" ShapeID="_x0000_i1054" DrawAspect="Content" ObjectID="_1299352560" r:id="rId23"/>
        </w:object>
      </w:r>
      <w:r w:rsidR="006E786A">
        <w:tab/>
      </w:r>
      <w:bookmarkStart w:id="9" w:name="cdp"/>
      <w:r w:rsidR="006E786A">
        <w:fldChar w:fldCharType="begin"/>
      </w:r>
      <w:r w:rsidR="006E786A">
        <w:instrText xml:space="preserve"> MACROBUTTON MTPlaceRef \* MERGEFORMAT </w:instrText>
      </w:r>
      <w:r w:rsidR="006E786A">
        <w:fldChar w:fldCharType="begin"/>
      </w:r>
      <w:r w:rsidR="006E786A">
        <w:instrText xml:space="preserve"> SEQ MTEqn \h \* MERGEFORMAT </w:instrText>
      </w:r>
      <w:r w:rsidR="006E786A">
        <w:fldChar w:fldCharType="end"/>
      </w:r>
      <w:bookmarkStart w:id="10" w:name="ZEqnNum633349"/>
      <w:r w:rsidR="006E786A">
        <w:instrText>(</w:instrText>
      </w:r>
      <w:fldSimple w:instr=" SEQ MTEqn \c \* Arabic \* MERGEFORMAT ">
        <w:r w:rsidR="00992094">
          <w:rPr>
            <w:noProof/>
          </w:rPr>
          <w:instrText>4</w:instrText>
        </w:r>
      </w:fldSimple>
      <w:r w:rsidR="006E786A">
        <w:instrText>)</w:instrText>
      </w:r>
      <w:bookmarkEnd w:id="10"/>
      <w:r w:rsidR="006E786A">
        <w:fldChar w:fldCharType="end"/>
      </w:r>
      <w:bookmarkEnd w:id="9"/>
    </w:p>
    <w:p w14:paraId="07265627" w14:textId="60DC4C88" w:rsidR="00335322" w:rsidRPr="006E2790" w:rsidRDefault="00335322" w:rsidP="00335322">
      <w:r w:rsidRPr="003D12EA">
        <w:rPr>
          <w:highlight w:val="yellow"/>
        </w:rPr>
        <w:t xml:space="preserve">The primary difference between </w:t>
      </w:r>
      <w:r w:rsidRPr="003D12EA">
        <w:rPr>
          <w:highlight w:val="yellow"/>
        </w:rPr>
        <w:fldChar w:fldCharType="begin"/>
      </w:r>
      <w:r w:rsidRPr="003D12EA">
        <w:rPr>
          <w:highlight w:val="yellow"/>
        </w:rPr>
        <w:instrText xml:space="preserve"> GOTOBUTTON ZEqnNum220842  \* MERGEFORMAT </w:instrText>
      </w:r>
      <w:r w:rsidRPr="003D12EA">
        <w:rPr>
          <w:highlight w:val="yellow"/>
        </w:rPr>
        <w:fldChar w:fldCharType="begin"/>
      </w:r>
      <w:r w:rsidRPr="003D12EA">
        <w:rPr>
          <w:highlight w:val="yellow"/>
        </w:rPr>
        <w:instrText xml:space="preserve"> REF ZEqnNum220842 \* Charformat \! \* MERGEFORMAT </w:instrText>
      </w:r>
      <w:r w:rsidRPr="003D12EA">
        <w:rPr>
          <w:highlight w:val="yellow"/>
        </w:rPr>
        <w:fldChar w:fldCharType="separate"/>
      </w:r>
      <w:r w:rsidR="00992094" w:rsidRPr="003D12EA">
        <w:rPr>
          <w:highlight w:val="yellow"/>
        </w:rPr>
        <w:instrText>(3)</w:instrText>
      </w:r>
      <w:r w:rsidRPr="003D12EA">
        <w:rPr>
          <w:highlight w:val="yellow"/>
        </w:rPr>
        <w:fldChar w:fldCharType="end"/>
      </w:r>
      <w:r w:rsidRPr="003D12EA">
        <w:rPr>
          <w:highlight w:val="yellow"/>
        </w:rPr>
        <w:fldChar w:fldCharType="end"/>
      </w:r>
      <w:r w:rsidRPr="003D12EA">
        <w:rPr>
          <w:highlight w:val="yellow"/>
        </w:rPr>
        <w:t xml:space="preserve"> and </w:t>
      </w:r>
      <w:r w:rsidRPr="003D12EA">
        <w:rPr>
          <w:highlight w:val="yellow"/>
        </w:rPr>
        <w:fldChar w:fldCharType="begin"/>
      </w:r>
      <w:r w:rsidRPr="003D12EA">
        <w:rPr>
          <w:highlight w:val="yellow"/>
        </w:rPr>
        <w:instrText xml:space="preserve"> GOTOBUTTON ZEqnNum633349  \* MERGEFORMAT </w:instrText>
      </w:r>
      <w:r w:rsidRPr="003D12EA">
        <w:rPr>
          <w:highlight w:val="yellow"/>
        </w:rPr>
        <w:fldChar w:fldCharType="begin"/>
      </w:r>
      <w:r w:rsidRPr="003D12EA">
        <w:rPr>
          <w:highlight w:val="yellow"/>
        </w:rPr>
        <w:instrText xml:space="preserve"> REF ZEqnNum633349 \* Charformat \! \* MERGEFORMAT </w:instrText>
      </w:r>
      <w:r w:rsidRPr="003D12EA">
        <w:rPr>
          <w:highlight w:val="yellow"/>
        </w:rPr>
        <w:fldChar w:fldCharType="separate"/>
      </w:r>
      <w:r w:rsidR="00992094" w:rsidRPr="003D12EA">
        <w:rPr>
          <w:highlight w:val="yellow"/>
        </w:rPr>
        <w:instrText>(4)</w:instrText>
      </w:r>
      <w:r w:rsidRPr="003D12EA">
        <w:rPr>
          <w:highlight w:val="yellow"/>
        </w:rPr>
        <w:fldChar w:fldCharType="end"/>
      </w:r>
      <w:r w:rsidRPr="003D12EA">
        <w:rPr>
          <w:highlight w:val="yellow"/>
        </w:rPr>
        <w:fldChar w:fldCharType="end"/>
      </w:r>
      <w:r w:rsidRPr="003D12EA">
        <w:rPr>
          <w:highlight w:val="yellow"/>
        </w:rPr>
        <w:t xml:space="preserve"> is the replacement of the </w:t>
      </w:r>
      <w:proofErr w:type="gramStart"/>
      <w:r w:rsidRPr="003D12EA">
        <w:rPr>
          <w:i/>
          <w:highlight w:val="yellow"/>
        </w:rPr>
        <w:t>q(</w:t>
      </w:r>
      <w:proofErr w:type="gramEnd"/>
      <w:r w:rsidRPr="003D12EA">
        <w:rPr>
          <w:i/>
          <w:highlight w:val="yellow"/>
        </w:rPr>
        <w:t>v)</w:t>
      </w:r>
      <w:r w:rsidRPr="003D12EA">
        <w:rPr>
          <w:highlight w:val="yellow"/>
        </w:rPr>
        <w:t xml:space="preserve"> term by </w:t>
      </w:r>
      <w:r w:rsidRPr="003D12EA">
        <w:rPr>
          <w:i/>
          <w:highlight w:val="yellow"/>
        </w:rPr>
        <w:t>q(</w:t>
      </w:r>
      <w:r w:rsidR="002433F2" w:rsidRPr="003D12EA">
        <w:rPr>
          <w:i/>
          <w:highlight w:val="yellow"/>
        </w:rPr>
        <w:t>c</w:t>
      </w:r>
      <w:r w:rsidRPr="003D12EA">
        <w:rPr>
          <w:i/>
          <w:highlight w:val="yellow"/>
        </w:rPr>
        <w:t>)</w:t>
      </w:r>
      <w:r w:rsidRPr="003D12EA">
        <w:rPr>
          <w:highlight w:val="yellow"/>
        </w:rPr>
        <w:t xml:space="preserve">. The stick breaks, </w:t>
      </w:r>
      <w:r w:rsidRPr="003D12EA">
        <w:rPr>
          <w:i/>
          <w:highlight w:val="yellow"/>
        </w:rPr>
        <w:t>v</w:t>
      </w:r>
      <w:r w:rsidR="003D12EA" w:rsidRPr="003D12EA">
        <w:rPr>
          <w:i/>
          <w:highlight w:val="yellow"/>
          <w:vertAlign w:val="subscript"/>
        </w:rPr>
        <w:t>i</w:t>
      </w:r>
      <w:r w:rsidRPr="003D12EA">
        <w:rPr>
          <w:highlight w:val="yellow"/>
        </w:rPr>
        <w:t xml:space="preserve">, represent the </w:t>
      </w:r>
      <w:r w:rsidR="003D12EA" w:rsidRPr="003D12EA">
        <w:rPr>
          <w:highlight w:val="yellow"/>
        </w:rPr>
        <w:t>fractions of the remaining stick length and are</w:t>
      </w:r>
      <w:r w:rsidR="00B24C82" w:rsidRPr="003D12EA">
        <w:rPr>
          <w:highlight w:val="yellow"/>
        </w:rPr>
        <w:t xml:space="preserve"> modeled with a beta distribution </w:t>
      </w:r>
      <w:r w:rsidR="00D62750" w:rsidRPr="003D12EA">
        <w:rPr>
          <w:highlight w:val="yellow"/>
        </w:rPr>
        <w:fldChar w:fldCharType="begin"/>
      </w:r>
      <w:r w:rsidR="00D62750" w:rsidRPr="003D12EA">
        <w:rPr>
          <w:highlight w:val="yellow"/>
        </w:rPr>
        <w:instrText xml:space="preserve"> REF _Ref351535794 \r </w:instrText>
      </w:r>
      <w:r w:rsidR="00D62750" w:rsidRPr="003D12EA">
        <w:rPr>
          <w:highlight w:val="yellow"/>
        </w:rPr>
        <w:fldChar w:fldCharType="separate"/>
      </w:r>
      <w:r w:rsidR="00992094" w:rsidRPr="003D12EA">
        <w:rPr>
          <w:highlight w:val="yellow"/>
        </w:rPr>
        <w:t>[7]</w:t>
      </w:r>
      <w:r w:rsidR="00D62750" w:rsidRPr="003D12EA">
        <w:rPr>
          <w:highlight w:val="yellow"/>
        </w:rPr>
        <w:fldChar w:fldCharType="end"/>
      </w:r>
      <w:r w:rsidR="00B24C82" w:rsidRPr="003D12EA">
        <w:rPr>
          <w:highlight w:val="yellow"/>
        </w:rPr>
        <w:t xml:space="preserve"> while </w:t>
      </w:r>
      <w:r w:rsidR="002433F2" w:rsidRPr="003D12EA">
        <w:rPr>
          <w:i/>
          <w:highlight w:val="yellow"/>
        </w:rPr>
        <w:t>c</w:t>
      </w:r>
      <w:r w:rsidR="003D12EA" w:rsidRPr="003D12EA">
        <w:rPr>
          <w:i/>
          <w:highlight w:val="yellow"/>
          <w:vertAlign w:val="subscript"/>
        </w:rPr>
        <w:t>i</w:t>
      </w:r>
      <w:r w:rsidR="00B24C82" w:rsidRPr="003D12EA">
        <w:rPr>
          <w:highlight w:val="yellow"/>
        </w:rPr>
        <w:t xml:space="preserve"> are the actual mixture weights (i.e. each </w:t>
      </w:r>
      <w:r w:rsidR="002433F2" w:rsidRPr="003D12EA">
        <w:rPr>
          <w:i/>
          <w:highlight w:val="yellow"/>
        </w:rPr>
        <w:t>c</w:t>
      </w:r>
      <w:r w:rsidR="003D12EA" w:rsidRPr="003D12EA">
        <w:rPr>
          <w:i/>
          <w:highlight w:val="yellow"/>
          <w:vertAlign w:val="subscript"/>
        </w:rPr>
        <w:t>i</w:t>
      </w:r>
      <w:r w:rsidR="00B24C82" w:rsidRPr="003D12EA">
        <w:rPr>
          <w:highlight w:val="yellow"/>
        </w:rPr>
        <w:t xml:space="preserve"> represents the fraction of the original, whole stick). </w:t>
      </w:r>
      <w:r w:rsidR="009F3DEB" w:rsidRPr="003D12EA">
        <w:rPr>
          <w:highlight w:val="yellow"/>
        </w:rPr>
        <w:t>S</w:t>
      </w:r>
      <w:r w:rsidR="00B24C82" w:rsidRPr="003D12EA">
        <w:rPr>
          <w:highlight w:val="yellow"/>
        </w:rPr>
        <w:t>ince the length of each stick break is held constant</w:t>
      </w:r>
      <w:r w:rsidR="006E2790" w:rsidRPr="003D12EA">
        <w:rPr>
          <w:highlight w:val="yellow"/>
        </w:rPr>
        <w:t xml:space="preserve">, the effect from the mixture weights can be removed from the product and replaced by </w:t>
      </w:r>
      <w:r w:rsidR="006E2790" w:rsidRPr="003D12EA">
        <w:rPr>
          <w:i/>
          <w:highlight w:val="yellow"/>
        </w:rPr>
        <w:t>q(</w:t>
      </w:r>
      <w:r w:rsidR="002433F2" w:rsidRPr="003D12EA">
        <w:rPr>
          <w:i/>
          <w:highlight w:val="yellow"/>
        </w:rPr>
        <w:t>c</w:t>
      </w:r>
      <w:r w:rsidR="006E2790" w:rsidRPr="003D12EA">
        <w:rPr>
          <w:i/>
          <w:highlight w:val="yellow"/>
        </w:rPr>
        <w:t>)</w:t>
      </w:r>
      <w:r w:rsidR="006E2790" w:rsidRPr="003D12EA">
        <w:rPr>
          <w:highlight w:val="yellow"/>
        </w:rPr>
        <w:t>.</w:t>
      </w:r>
    </w:p>
    <w:p w14:paraId="64C3D3D5" w14:textId="77777777" w:rsidR="00992A91" w:rsidRDefault="00992A91" w:rsidP="00B04E65">
      <w:pPr>
        <w:pStyle w:val="Heading1"/>
      </w:pPr>
      <w:r>
        <w:t>Experimental Setup</w:t>
      </w:r>
    </w:p>
    <w:p w14:paraId="47A27F06" w14:textId="77777777" w:rsidR="008F1786" w:rsidRDefault="00992A91" w:rsidP="006E786A">
      <w:pPr>
        <w:pStyle w:val="BodyText"/>
      </w:pPr>
      <w:r>
        <w:t>In this work, the performance of AVDPM, CVSB, and CDP are 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14:paraId="08E98B8C" w14:textId="16A7DF97" w:rsidR="00CB4A57" w:rsidRDefault="008F1786" w:rsidP="003D12EA">
      <w:pPr>
        <w:pStyle w:val="BodyTextNext"/>
      </w:pPr>
      <w:r>
        <w:t>Labels for the CH-E co</w:t>
      </w:r>
      <w:r w:rsidR="007C04EE">
        <w:t xml:space="preserve">rpus consist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992094">
        <w:t>[14]</w:t>
      </w:r>
      <w:r w:rsidR="00851EDD">
        <w:fldChar w:fldCharType="end"/>
      </w:r>
      <w:r>
        <w:t xml:space="preserve"> as well as three additional labels – sp, sil, and a garbage phoneme – which are 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029B3EDF" w:rsidR="006E786A" w:rsidRDefault="006E786A" w:rsidP="003D12EA">
      <w:pPr>
        <w:pStyle w:val="BodyTextNext"/>
      </w:pPr>
      <w:r>
        <w:t xml:space="preserve">Phoneme alignments are generated by training a hidden Markov model (HMM) based </w:t>
      </w:r>
      <w:r w:rsidR="00544E5A">
        <w:t>acoustic model</w:t>
      </w:r>
      <w:r>
        <w:t xml:space="preserve"> </w:t>
      </w:r>
      <w:r w:rsidR="00544E5A">
        <w:t>using</w:t>
      </w:r>
      <w:r>
        <w:t xml:space="preserve"> a flat start and training up to 16 monophone mixtures</w:t>
      </w:r>
      <w:r w:rsidR="00544E5A">
        <w:t>. Finally, a Viterbi alignment is performed to identify phoneme segments</w:t>
      </w:r>
      <w:r>
        <w:t xml:space="preserve">. </w:t>
      </w:r>
      <w:r w:rsidR="000C0FE9">
        <w:t xml:space="preserve">Any utterances </w:t>
      </w:r>
      <w:r w:rsidR="00544E5A">
        <w:t xml:space="preserve">from the corpora </w:t>
      </w:r>
      <w:r w:rsidR="000C0FE9">
        <w:t xml:space="preserve">that </w:t>
      </w:r>
      <w:r w:rsidR="00544E5A">
        <w:t>contain</w:t>
      </w:r>
      <w:r w:rsidR="000C0FE9">
        <w:t xml:space="preserve"> </w:t>
      </w:r>
      <w:r w:rsidR="00544E5A">
        <w:t>simultaneous</w:t>
      </w:r>
      <w:r w:rsidR="000C0FE9">
        <w:t xml:space="preserve"> </w:t>
      </w:r>
      <w:r w:rsidR="003D2457">
        <w:t>speech from multiple speakers are discarded</w:t>
      </w:r>
      <w:r w:rsidR="000C0FE9">
        <w:t xml:space="preserve">. </w:t>
      </w:r>
    </w:p>
    <w:p w14:paraId="2EDFBB97" w14:textId="77777777" w:rsidR="00544E5A" w:rsidRDefault="00544E5A" w:rsidP="003D12EA">
      <w:pPr>
        <w:pStyle w:val="BodyTextNext"/>
      </w:pPr>
      <w:r>
        <w:t>Using the generated segmentations,</w:t>
      </w:r>
      <w:r w:rsidR="006E786A">
        <w:t xml:space="preserve"> 13</w:t>
      </w:r>
      <w:r w:rsidR="00D1454F">
        <w:t xml:space="preserve"> MFCC features and their first and second derivatives are extracted</w:t>
      </w:r>
      <w:r w:rsidR="00992A91">
        <w:t xml:space="preserve"> </w:t>
      </w:r>
      <w:r w:rsidR="00D1454F">
        <w:t>using a frame rate and window size of 10ms and 25ms respectively. The</w:t>
      </w:r>
      <w:r w:rsidR="003D2457">
        <w:t xml:space="preserve"> </w:t>
      </w:r>
      <w:r w:rsidR="003D2457">
        <w:lastRenderedPageBreak/>
        <w:t>frame based</w:t>
      </w:r>
      <w:r w:rsidR="00D1454F">
        <w:t xml:space="preserve"> features from each phoneme segment are averaged in a 3-4-3 manner so that the number of features </w:t>
      </w:r>
      <w:r w:rsidR="003D2457">
        <w:t>per</w:t>
      </w:r>
      <w:r w:rsidR="00D1454F">
        <w:t xml:space="preserve"> segment is constant despite duration (although duration is added as a</w:t>
      </w:r>
      <w:r w:rsidR="006E786A">
        <w:t xml:space="preserve"> single</w:t>
      </w:r>
      <w:r w:rsidR="00D1454F">
        <w:t xml:space="preserve"> additional feature). </w:t>
      </w:r>
      <w:r w:rsidR="003D2457">
        <w:t>M</w:t>
      </w:r>
      <w:r w:rsidR="00134273">
        <w:t>odel</w:t>
      </w:r>
      <w:r w:rsidR="003D2457">
        <w:t>s</w:t>
      </w:r>
      <w:r w:rsidR="00134273">
        <w:t xml:space="preserve"> </w:t>
      </w:r>
      <w:r w:rsidR="003D2457">
        <w:t>are</w:t>
      </w:r>
      <w:r w:rsidR="00134273">
        <w:t xml:space="preserve"> </w:t>
      </w:r>
      <w:r w:rsidR="003D2457">
        <w:t>trained</w:t>
      </w:r>
      <w:r w:rsidR="00134273">
        <w:t xml:space="preserve"> for each phoneme label and predict</w:t>
      </w:r>
      <w:r w:rsidR="003D2457">
        <w:t>ions are generated</w:t>
      </w:r>
      <w:r w:rsidR="00134273">
        <w:t xml:space="preserve"> using maximum likelihood. </w:t>
      </w:r>
      <w:r w:rsidR="00526205">
        <w:t>Diagonal covariances are used to train GMM models and t</w:t>
      </w:r>
      <w:r w:rsidR="00134273">
        <w:t xml:space="preserve">he </w:t>
      </w:r>
      <w:r w:rsidR="00526205">
        <w:t>number of mixture components is</w:t>
      </w:r>
      <w:r w:rsidR="00134273">
        <w:t xml:space="preserve"> held constant for all phoneme labels</w:t>
      </w:r>
      <w:r w:rsidR="00526205">
        <w:t>.</w:t>
      </w:r>
      <w:r w:rsidR="00134273">
        <w:t xml:space="preserve"> </w:t>
      </w:r>
      <w:r w:rsidR="00526205">
        <w:t xml:space="preserve">Conversely, </w:t>
      </w:r>
      <w:r w:rsidR="00134273">
        <w:t>AVDPM, CVSB, and CDP</w:t>
      </w:r>
      <w:r w:rsidR="00526205">
        <w:t xml:space="preserve"> </w:t>
      </w:r>
      <w:r w:rsidR="00134273">
        <w:t>find this number</w:t>
      </w:r>
      <w:r w:rsidR="003D2457">
        <w:t>, and corresponding means and covariances,</w:t>
      </w:r>
      <w:r w:rsidR="00134273">
        <w:t xml:space="preserve"> automatically.</w:t>
      </w:r>
    </w:p>
    <w:p w14:paraId="582C5A1C" w14:textId="77777777" w:rsidR="008F1786" w:rsidRDefault="008F1786" w:rsidP="003D12EA">
      <w:pPr>
        <w:pStyle w:val="BodyTextNext"/>
      </w:pPr>
      <w:r>
        <w:t>The best of 10 i</w:t>
      </w:r>
      <w:r w:rsidR="003D2457">
        <w:t>terations</w:t>
      </w:r>
      <w:r>
        <w:t xml:space="preserve"> of the GMM baseline is compared to the average performance of AVDPM, CVSB, and CDP over 10 iterations. Performance is evaluated using both error rates and also the average number of mixture components per phoneme label. </w:t>
      </w:r>
    </w:p>
    <w:p w14:paraId="3889BE3D" w14:textId="391E3F9A"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bookmarkStart w:id="11" w:name="_GoBack"/>
      <w:bookmarkEnd w:id="11"/>
      <w:r w:rsidR="00905D33">
        <w:t xml:space="preserve">calibrated </w:t>
      </w:r>
      <w:r w:rsidR="00526205">
        <w:t xml:space="preserve">TIMIT corpus </w:t>
      </w:r>
      <w:r>
        <w:t xml:space="preserve">to confirm that this setup </w:t>
      </w:r>
      <w:r w:rsidR="00632BED">
        <w:t>produces</w:t>
      </w:r>
      <w:r>
        <w:t xml:space="preserve"> 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992094">
        <w:t>[11]</w:t>
      </w:r>
      <w:r w:rsidR="00F53F03">
        <w:fldChar w:fldCharType="end"/>
      </w:r>
      <w:r w:rsidR="00CC53D7">
        <w:t>-</w:t>
      </w:r>
      <w:r w:rsidR="00F53F03">
        <w:fldChar w:fldCharType="begin"/>
      </w:r>
      <w:r w:rsidR="00F53F03">
        <w:instrText xml:space="preserve"> REF _Ref350518546 \r </w:instrText>
      </w:r>
      <w:r w:rsidR="00F53F03">
        <w:fldChar w:fldCharType="separate"/>
      </w:r>
      <w:r w:rsidR="00992094">
        <w:t>[13]</w:t>
      </w:r>
      <w:r w:rsidR="00F53F03">
        <w:fldChar w:fldCharType="end"/>
      </w:r>
      <w:r w:rsidR="006E5FF7">
        <w:t>, the corpus is partitioned into training</w:t>
      </w:r>
      <w:r w:rsidR="003D2457">
        <w:t>,</w:t>
      </w:r>
      <w:r w:rsidR="006E5FF7">
        <w:t xml:space="preserve"> validation</w:t>
      </w:r>
      <w:r w:rsidR="003D2457">
        <w:t>,</w:t>
      </w:r>
      <w:r w:rsidR="006E5FF7">
        <w:t xml:space="preserve"> and evaluation sets</w:t>
      </w:r>
      <w:r w:rsidR="00CC53D7">
        <w:t>. T</w:t>
      </w:r>
      <w:r w:rsidR="006E5FF7">
        <w:t>he 61 original phonemes that exist in the TIMIT corpus were collapsed to 39 labels</w:t>
      </w:r>
      <w:r w:rsidR="00F53F03">
        <w:t xml:space="preserve">. </w:t>
      </w:r>
      <w:r w:rsidR="003D12EA">
        <w:t>GMMs were</w:t>
      </w:r>
      <w:r w:rsidR="00D121BC">
        <w:t xml:space="preserve"> first fit using the phoneme alignments provided with the TIMIT corpus. </w:t>
      </w:r>
      <w:r w:rsidR="006E5FF7">
        <w:t xml:space="preserve">The </w:t>
      </w:r>
      <w:r w:rsidR="003D12EA">
        <w:t>number of mixture components was</w:t>
      </w:r>
      <w:r w:rsidR="006E5FF7">
        <w:t xml:space="preserve">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992094">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992094">
        <w:t>[13]</w:t>
      </w:r>
      <w:r w:rsidR="006E5FF7">
        <w:fldChar w:fldCharType="end"/>
      </w:r>
      <w:r w:rsidR="006E5FF7">
        <w:t xml:space="preserve"> using features only from the central portion of each phoneme segment instead of the 3-4-3 </w:t>
      </w:r>
      <w:proofErr w:type="gramStart"/>
      <w:r w:rsidR="006E5FF7">
        <w:t>approach</w:t>
      </w:r>
      <w:proofErr w:type="gramEnd"/>
      <w:r w:rsidR="006E5FF7">
        <w:t xml:space="preserve"> in this work.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xml:space="preserve">. These results are shown in the following section and allow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59D004E6" w:rsidR="00E05430" w:rsidRDefault="00E05430" w:rsidP="00B04E65">
      <w:pPr>
        <w:pStyle w:val="Heading1"/>
      </w:pPr>
      <w:r>
        <w:t xml:space="preserve">Results </w:t>
      </w:r>
      <w:r w:rsidR="005B52FC">
        <w:t>and</w:t>
      </w:r>
      <w:r>
        <w:t xml:space="preserve"> Discussion</w:t>
      </w:r>
    </w:p>
    <w:p w14:paraId="20E29463" w14:textId="22FAE495" w:rsidR="00E05430" w:rsidRDefault="00706940" w:rsidP="00E05430">
      <w:r>
        <w:t xml:space="preserve">The truncation level for CVSB and CDP </w:t>
      </w:r>
      <w:r w:rsidR="002B5AB8">
        <w:t>was</w:t>
      </w:r>
      <w:r>
        <w:t xml:space="preserve"> swept to determine an optimal operating point for each corpus. Similarly, the initial depth of the KD tree is swept for AVDPM to determine the effect on performance. Each algorithm is iterated ten times and an average misclassification error rate is calculated. </w:t>
      </w:r>
      <w:r w:rsidR="004C4673">
        <w:t>A</w:t>
      </w:r>
      <w:r>
        <w:t xml:space="preserve"> table of the </w:t>
      </w:r>
      <w:proofErr w:type="gramStart"/>
      <w:r>
        <w:t xml:space="preserve">best </w:t>
      </w:r>
      <w:r w:rsidR="004C4673">
        <w:t>obtained</w:t>
      </w:r>
      <w:proofErr w:type="gramEnd"/>
      <w:r w:rsidR="004C4673">
        <w:t xml:space="preserve"> </w:t>
      </w:r>
      <w:r>
        <w:t>error rates</w:t>
      </w:r>
      <w:r w:rsidR="004C4673">
        <w:t xml:space="preserve"> on respective evaluation sets</w:t>
      </w:r>
      <w:r>
        <w:t xml:space="preserve"> </w:t>
      </w:r>
      <w:r w:rsidR="004C4673">
        <w:t>and their respective parameters are</w:t>
      </w:r>
      <w:r>
        <w:t xml:space="preserve"> shown in </w:t>
      </w:r>
      <w:r>
        <w:fldChar w:fldCharType="begin"/>
      </w:r>
      <w:r>
        <w:instrText xml:space="preserve"> REF _Ref350590506 </w:instrText>
      </w:r>
      <w:r>
        <w:fldChar w:fldCharType="separate"/>
      </w:r>
      <w:r w:rsidR="00992094" w:rsidRPr="00160B08">
        <w:t xml:space="preserve">Table </w:t>
      </w:r>
      <w:r w:rsidR="00992094">
        <w:rPr>
          <w:noProof/>
        </w:rPr>
        <w:t>1</w:t>
      </w:r>
      <w:r>
        <w:fldChar w:fldCharType="end"/>
      </w:r>
      <w:r w:rsidR="004C4673">
        <w:t xml:space="preserve">. </w:t>
      </w:r>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w:t>
      </w:r>
      <w:r w:rsidR="00706940">
        <w:lastRenderedPageBreak/>
        <w:t xml:space="preserve">model is trained on less than half the number of segments as those for English.  </w:t>
      </w:r>
    </w:p>
    <w:p w14:paraId="1EA7DA81" w14:textId="6BCB3428" w:rsidR="00347D69" w:rsidRDefault="0040436A" w:rsidP="003D12EA">
      <w:pPr>
        <w:pStyle w:val="BodyTextNext"/>
      </w:pPr>
      <w:r w:rsidRPr="0053095E">
        <w:rPr>
          <w:noProof/>
        </w:rPr>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2"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2"/>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13"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13"/>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r w:rsidR="00992094" w:rsidRPr="00160B08">
        <w:t xml:space="preserve">Table </w:t>
      </w:r>
      <w:r w:rsidR="00992094">
        <w:rPr>
          <w:noProof/>
        </w:rPr>
        <w:t>1</w:t>
      </w:r>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74DEA92A"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4"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4"/>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"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5"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5"/>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992094">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r w:rsidR="00992094" w:rsidRPr="00160B08">
        <w:t xml:space="preserve">Table </w:t>
      </w:r>
      <w:r w:rsidR="00992094">
        <w:rPr>
          <w:noProof/>
        </w:rPr>
        <w:t>1</w:t>
      </w:r>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only marginally </w:t>
      </w:r>
      <w:r w:rsidR="005B4262">
        <w:t>worsens</w:t>
      </w:r>
      <w:r w:rsidR="00BC7EC7">
        <w:t xml:space="preserve"> error by </w:t>
      </w:r>
      <w:r w:rsidR="005B4262">
        <w:t xml:space="preserve">1.32% and 1.14% respectively. </w:t>
      </w:r>
    </w:p>
    <w:p w14:paraId="6877597B" w14:textId="3C73DC51"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D12EA">
        <w:t xml:space="preserve">Figure </w:t>
      </w:r>
      <w:r w:rsidR="003D12EA">
        <w:rPr>
          <w:noProof/>
        </w:rPr>
        <w:t>3</w:t>
      </w:r>
      <w:r w:rsidR="003D12EA">
        <w:fldChar w:fldCharType="end"/>
      </w:r>
      <w:r w:rsidR="003D12EA">
        <w:t xml:space="preserve"> </w:t>
      </w:r>
      <w:r w:rsidR="006046BA">
        <w:t xml:space="preserve">shows </w:t>
      </w:r>
      <w:r w:rsidR="003D12EA">
        <w:t xml:space="preserve">the </w:t>
      </w:r>
      <w:r w:rsidR="003D12EA">
        <w:t>actual measured CPU times for training as a function of the amount of training data</w:t>
      </w:r>
      <w:r w:rsidR="003D12EA">
        <w:t xml:space="preserve"> for </w:t>
      </w:r>
      <w:r w:rsidR="006046BA">
        <w:t xml:space="preserve">AVDPM, CVSB, and CDP. </w:t>
      </w:r>
      <w:r w:rsidR="003D12EA">
        <w:t xml:space="preserve">CPU </w:t>
      </w:r>
      <w:r w:rsidR="006046BA">
        <w:t>times</w:t>
      </w:r>
      <w:r w:rsidR="00F330FA">
        <w:t xml:space="preserve"> were obtained using optimal</w:t>
      </w:r>
      <w:r w:rsidR="003D12EA">
        <w:t xml:space="preserve"> operating points on the TIMIT C</w:t>
      </w:r>
      <w:r w:rsidR="00F330FA">
        <w:t>orpus 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992094">
        <w:t>[15]</w:t>
      </w:r>
      <w:r w:rsidR="004A002E">
        <w:fldChar w:fldCharType="end"/>
      </w:r>
      <w:r w:rsidR="001453E8">
        <w:t>.</w:t>
      </w:r>
    </w:p>
    <w:p w14:paraId="0DC4F40C" w14:textId="0F83B07E" w:rsidR="006046BA" w:rsidRPr="00F330FA" w:rsidRDefault="0043135C" w:rsidP="003D12EA">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r w:rsidR="00992094" w:rsidRPr="00160B08">
        <w:t xml:space="preserve">Table </w:t>
      </w:r>
      <w:r w:rsidR="00992094">
        <w:rPr>
          <w:noProof/>
        </w:rPr>
        <w:t>1</w:t>
      </w:r>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will </w:t>
      </w:r>
      <w:r w:rsidR="00666B07">
        <w:t>linearly increase 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992094">
        <w:t xml:space="preserve">Figure </w:t>
      </w:r>
      <w:r w:rsidR="00992094">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rsidP="00B04E65">
      <w:pPr>
        <w:pStyle w:val="Heading1"/>
      </w:pPr>
      <w:r>
        <w:t xml:space="preserve"> </w:t>
      </w:r>
      <w:r w:rsidR="00081F82">
        <w:t>Conclusions</w:t>
      </w:r>
    </w:p>
    <w:p w14:paraId="0A42A034" w14:textId="0D753FC5"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However, </w:t>
      </w:r>
      <w:r w:rsidR="00652871">
        <w:t xml:space="preserve">due to their infinite number of 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75D2D9F0" w:rsidR="008B60F6" w:rsidRDefault="00BC00C0" w:rsidP="003D12EA">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yields optimal, or very near optimal, results for data ranging from read speech in clean recording environments 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011369B1" w:rsidR="0004128C" w:rsidRDefault="0004128C" w:rsidP="00B04E65">
      <w:pPr>
        <w:pStyle w:val="Heading1"/>
      </w:pPr>
      <w:r>
        <w:t>Acknowledgements</w:t>
      </w:r>
    </w:p>
    <w:p w14:paraId="38E11E16" w14:textId="77777777" w:rsidR="0004128C"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p>
    <w:p w14:paraId="12AB44D9" w14:textId="77777777" w:rsidR="00EE28EB" w:rsidRPr="0033735D" w:rsidRDefault="00EE28EB" w:rsidP="00B04E65">
      <w:pPr>
        <w:pStyle w:val="Heading1"/>
      </w:pPr>
      <w:r w:rsidRPr="0033735D">
        <w:lastRenderedPageBreak/>
        <w:t>References</w:t>
      </w:r>
    </w:p>
    <w:p w14:paraId="1975ADF2" w14:textId="37041D85" w:rsidR="008E00D6" w:rsidRPr="004B79FC" w:rsidRDefault="009F58C0" w:rsidP="004F2931">
      <w:pPr>
        <w:pStyle w:val="Reference"/>
        <w:rPr>
          <w:sz w:val="16"/>
          <w:szCs w:val="16"/>
        </w:rPr>
      </w:pPr>
      <w:bookmarkStart w:id="16" w:name="_Ref225082960"/>
      <w:bookmarkStart w:id="17" w:name="_Ref349238807"/>
      <w:bookmarkStart w:id="18"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16"/>
    </w:p>
    <w:p w14:paraId="4F7CF78C" w14:textId="02037025" w:rsidR="004F2931" w:rsidRPr="004B79FC" w:rsidRDefault="009F58C0" w:rsidP="004F2931">
      <w:pPr>
        <w:pStyle w:val="Reference"/>
        <w:rPr>
          <w:sz w:val="16"/>
          <w:szCs w:val="16"/>
        </w:rPr>
      </w:pPr>
      <w:bookmarkStart w:id="19" w:name="_Ref351731459"/>
      <w:bookmarkStart w:id="20"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19"/>
      <w:r w:rsidRPr="004B79FC">
        <w:rPr>
          <w:sz w:val="16"/>
          <w:szCs w:val="16"/>
        </w:rPr>
        <w:t xml:space="preserve"> </w:t>
      </w:r>
      <w:bookmarkEnd w:id="17"/>
      <w:bookmarkEnd w:id="20"/>
    </w:p>
    <w:p w14:paraId="083190FA" w14:textId="0F9E6B1D" w:rsidR="00D72804" w:rsidRPr="004B79FC" w:rsidRDefault="009F58C0" w:rsidP="002866BF">
      <w:pPr>
        <w:pStyle w:val="Reference"/>
        <w:rPr>
          <w:sz w:val="16"/>
          <w:szCs w:val="16"/>
        </w:rPr>
      </w:pPr>
      <w:bookmarkStart w:id="21" w:name="_Ref351731461"/>
      <w:bookmarkStart w:id="22"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21"/>
      <w:r w:rsidRPr="004B79FC">
        <w:rPr>
          <w:sz w:val="16"/>
          <w:szCs w:val="16"/>
        </w:rPr>
        <w:t xml:space="preserve"> </w:t>
      </w:r>
      <w:bookmarkEnd w:id="22"/>
    </w:p>
    <w:p w14:paraId="7093757F" w14:textId="4AE5FE14" w:rsidR="002866BF" w:rsidRPr="004B79FC" w:rsidRDefault="009F58C0" w:rsidP="002866BF">
      <w:pPr>
        <w:pStyle w:val="Reference"/>
        <w:rPr>
          <w:sz w:val="16"/>
          <w:szCs w:val="16"/>
        </w:rPr>
      </w:pPr>
      <w:bookmarkStart w:id="23" w:name="_Ref349483555"/>
      <w:r w:rsidRPr="004B79FC">
        <w:rPr>
          <w:sz w:val="16"/>
          <w:szCs w:val="16"/>
        </w:rPr>
        <w:t xml:space="preserve">R. Neal, “Bayesian Mixture Modeling by Monte Carlo Simulation,” 1991. </w:t>
      </w:r>
      <w:bookmarkEnd w:id="23"/>
    </w:p>
    <w:p w14:paraId="288A7BB2" w14:textId="27CAE38F" w:rsidR="003A79F3" w:rsidRPr="004B79FC" w:rsidRDefault="009F58C0" w:rsidP="003A79F3">
      <w:pPr>
        <w:pStyle w:val="Reference"/>
        <w:rPr>
          <w:sz w:val="16"/>
          <w:szCs w:val="16"/>
        </w:rPr>
      </w:pPr>
      <w:bookmarkStart w:id="24" w:name="_Ref349996341"/>
      <w:bookmarkStart w:id="25" w:name="_Ref351536042"/>
      <w:r w:rsidRPr="004B79FC">
        <w:rPr>
          <w:sz w:val="16"/>
          <w:szCs w:val="16"/>
        </w:rPr>
        <w:t xml:space="preserve">J. Paisley, “Machine learning with Dirichlet and beta process priors: Theory and Applications,” Duke University, 2012. </w:t>
      </w:r>
      <w:bookmarkEnd w:id="24"/>
      <w:bookmarkEnd w:id="25"/>
    </w:p>
    <w:p w14:paraId="40E4E74E" w14:textId="5BC8118B" w:rsidR="003A79F3" w:rsidRPr="004B79FC" w:rsidRDefault="009F58C0" w:rsidP="003A79F3">
      <w:pPr>
        <w:pStyle w:val="Reference"/>
        <w:rPr>
          <w:sz w:val="16"/>
          <w:szCs w:val="16"/>
        </w:rPr>
      </w:pPr>
      <w:bookmarkStart w:id="26"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26"/>
    </w:p>
    <w:p w14:paraId="079107E6" w14:textId="0F44C4DF" w:rsidR="00EB4B11" w:rsidRPr="004B79FC" w:rsidRDefault="009F58C0" w:rsidP="003A79F3">
      <w:pPr>
        <w:pStyle w:val="Reference"/>
        <w:rPr>
          <w:sz w:val="16"/>
          <w:szCs w:val="16"/>
        </w:rPr>
      </w:pPr>
      <w:bookmarkStart w:id="27"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27"/>
    </w:p>
    <w:p w14:paraId="640F8F8E" w14:textId="09BBA573" w:rsidR="001902A3" w:rsidRPr="004B79FC" w:rsidRDefault="004B79FC" w:rsidP="00297187">
      <w:pPr>
        <w:pStyle w:val="Reference"/>
        <w:rPr>
          <w:sz w:val="16"/>
          <w:szCs w:val="16"/>
        </w:rPr>
      </w:pPr>
      <w:bookmarkStart w:id="28"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xml:space="preserve">, “Ethnologue: Languages of the World,” 2009. [Online]. Available: http://www.ethnologue.com. [Accessed: 03-Feb-2013]. </w:t>
      </w:r>
      <w:bookmarkEnd w:id="28"/>
    </w:p>
    <w:p w14:paraId="4A2FB1D9" w14:textId="1E12C559" w:rsidR="00D61252" w:rsidRPr="004B79FC" w:rsidRDefault="004B79FC" w:rsidP="00D61252">
      <w:pPr>
        <w:pStyle w:val="Reference"/>
        <w:rPr>
          <w:sz w:val="16"/>
          <w:szCs w:val="16"/>
        </w:rPr>
      </w:pPr>
      <w:bookmarkStart w:id="29"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29"/>
    </w:p>
    <w:p w14:paraId="5F255E85" w14:textId="43044282" w:rsidR="00BE7895" w:rsidRPr="004B79FC" w:rsidRDefault="009F58C0" w:rsidP="00EB4B11">
      <w:pPr>
        <w:pStyle w:val="Reference"/>
        <w:rPr>
          <w:sz w:val="16"/>
          <w:szCs w:val="16"/>
        </w:rPr>
      </w:pPr>
      <w:bookmarkStart w:id="30" w:name="_Ref351102249"/>
      <w:bookmarkStart w:id="31"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30"/>
      <w:bookmarkEnd w:id="31"/>
    </w:p>
    <w:p w14:paraId="37A7F460" w14:textId="223098E9" w:rsidR="00B24C82" w:rsidRPr="004B79FC" w:rsidRDefault="009F58C0" w:rsidP="00632BED">
      <w:pPr>
        <w:pStyle w:val="Reference"/>
        <w:rPr>
          <w:sz w:val="16"/>
          <w:szCs w:val="16"/>
        </w:rPr>
      </w:pPr>
      <w:bookmarkStart w:id="32"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32"/>
    </w:p>
    <w:p w14:paraId="4156DB78" w14:textId="6FD458D7" w:rsidR="00632BED" w:rsidRPr="004B79FC" w:rsidRDefault="009F58C0" w:rsidP="00632BED">
      <w:pPr>
        <w:pStyle w:val="Reference"/>
        <w:rPr>
          <w:sz w:val="16"/>
          <w:szCs w:val="16"/>
        </w:rPr>
      </w:pPr>
      <w:bookmarkStart w:id="33"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33"/>
    </w:p>
    <w:p w14:paraId="3C2E6735" w14:textId="58F641CB" w:rsidR="00632BED" w:rsidRPr="004B79FC" w:rsidRDefault="009F58C0" w:rsidP="003D2457">
      <w:pPr>
        <w:pStyle w:val="Reference"/>
        <w:rPr>
          <w:sz w:val="16"/>
          <w:szCs w:val="16"/>
        </w:rPr>
      </w:pPr>
      <w:bookmarkStart w:id="34"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34"/>
    </w:p>
    <w:p w14:paraId="2AE76FAC" w14:textId="2BD4CAA1" w:rsidR="00851EDD" w:rsidRPr="00966E59" w:rsidRDefault="00966E59" w:rsidP="003D2457">
      <w:pPr>
        <w:pStyle w:val="Reference"/>
        <w:rPr>
          <w:sz w:val="16"/>
          <w:szCs w:val="16"/>
        </w:rPr>
      </w:pPr>
      <w:bookmarkStart w:id="35" w:name="_Ref351537578"/>
      <w:r w:rsidRPr="00966E59">
        <w:rPr>
          <w:sz w:val="16"/>
          <w:szCs w:val="16"/>
        </w:rPr>
        <w:t xml:space="preserve">“The CMU Pronouncing Dictionary,” 2008. [Online]. Available: https://cmusphinx.svn.sourceforge.net/svnroot/cmusphinx/trunk/cmudict. [Accessed: 03-Feb-2013]. </w:t>
      </w:r>
      <w:bookmarkEnd w:id="35"/>
    </w:p>
    <w:p w14:paraId="51B4D62E" w14:textId="36EC480C" w:rsidR="001453E8" w:rsidRPr="004B79FC" w:rsidRDefault="004B79FC" w:rsidP="001453E8">
      <w:pPr>
        <w:pStyle w:val="Reference"/>
        <w:rPr>
          <w:sz w:val="16"/>
          <w:szCs w:val="16"/>
        </w:rPr>
      </w:pPr>
      <w:bookmarkStart w:id="36"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36"/>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18"/>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5"/>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468E" w14:textId="77777777" w:rsidR="00DD1932" w:rsidRDefault="00DD1932">
      <w:r>
        <w:separator/>
      </w:r>
    </w:p>
    <w:p w14:paraId="59F1A860" w14:textId="77777777" w:rsidR="00DD1932" w:rsidRDefault="00DD1932"/>
  </w:endnote>
  <w:endnote w:type="continuationSeparator" w:id="0">
    <w:p w14:paraId="604C600C" w14:textId="77777777" w:rsidR="00DD1932" w:rsidRDefault="00DD1932">
      <w:r>
        <w:continuationSeparator/>
      </w:r>
    </w:p>
    <w:p w14:paraId="6D0D843F" w14:textId="77777777" w:rsidR="00DD1932" w:rsidRDefault="00DD1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853F" w14:textId="77777777" w:rsidR="00DD1932" w:rsidRDefault="00DD1932">
      <w:r>
        <w:separator/>
      </w:r>
    </w:p>
    <w:p w14:paraId="36EDA10C" w14:textId="77777777" w:rsidR="00DD1932" w:rsidRDefault="00DD1932"/>
  </w:footnote>
  <w:footnote w:type="continuationSeparator" w:id="0">
    <w:p w14:paraId="49A98226" w14:textId="77777777" w:rsidR="00DD1932" w:rsidRDefault="00DD1932">
      <w:r>
        <w:continuationSeparator/>
      </w:r>
    </w:p>
    <w:p w14:paraId="06F2D4A2" w14:textId="77777777" w:rsidR="00DD1932" w:rsidRDefault="00DD193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DD8E24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3258"/>
    <w:rsid w:val="0012394B"/>
    <w:rsid w:val="00134273"/>
    <w:rsid w:val="001439AD"/>
    <w:rsid w:val="001453E8"/>
    <w:rsid w:val="0014563E"/>
    <w:rsid w:val="00146643"/>
    <w:rsid w:val="001468BA"/>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27A9"/>
    <w:rsid w:val="002C27FC"/>
    <w:rsid w:val="002C46BB"/>
    <w:rsid w:val="002D3090"/>
    <w:rsid w:val="002D39AD"/>
    <w:rsid w:val="002D4C08"/>
    <w:rsid w:val="002E01ED"/>
    <w:rsid w:val="002E3347"/>
    <w:rsid w:val="0030121F"/>
    <w:rsid w:val="00324448"/>
    <w:rsid w:val="003265D9"/>
    <w:rsid w:val="003301BC"/>
    <w:rsid w:val="003331B0"/>
    <w:rsid w:val="00335322"/>
    <w:rsid w:val="00341D63"/>
    <w:rsid w:val="003437C9"/>
    <w:rsid w:val="00347D69"/>
    <w:rsid w:val="0035542C"/>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4E5A"/>
    <w:rsid w:val="005557D4"/>
    <w:rsid w:val="005777D3"/>
    <w:rsid w:val="005856E1"/>
    <w:rsid w:val="00593170"/>
    <w:rsid w:val="005A37BD"/>
    <w:rsid w:val="005B04AD"/>
    <w:rsid w:val="005B4262"/>
    <w:rsid w:val="005B52FC"/>
    <w:rsid w:val="005B5F5F"/>
    <w:rsid w:val="005C6E74"/>
    <w:rsid w:val="005D6546"/>
    <w:rsid w:val="005D6572"/>
    <w:rsid w:val="005E6B3E"/>
    <w:rsid w:val="005F0413"/>
    <w:rsid w:val="005F74C9"/>
    <w:rsid w:val="006013E1"/>
    <w:rsid w:val="006046BA"/>
    <w:rsid w:val="0060531A"/>
    <w:rsid w:val="00605F6B"/>
    <w:rsid w:val="006116FD"/>
    <w:rsid w:val="00613994"/>
    <w:rsid w:val="006308A6"/>
    <w:rsid w:val="00631189"/>
    <w:rsid w:val="00632BED"/>
    <w:rsid w:val="006479C4"/>
    <w:rsid w:val="00652871"/>
    <w:rsid w:val="00666B07"/>
    <w:rsid w:val="00681C1C"/>
    <w:rsid w:val="00686DD8"/>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60F6"/>
    <w:rsid w:val="008B7144"/>
    <w:rsid w:val="008C0F7D"/>
    <w:rsid w:val="008C6821"/>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C03BA"/>
    <w:rsid w:val="00AC33F5"/>
    <w:rsid w:val="00AC656F"/>
    <w:rsid w:val="00AD4172"/>
    <w:rsid w:val="00AD46AD"/>
    <w:rsid w:val="00AE695F"/>
    <w:rsid w:val="00B04621"/>
    <w:rsid w:val="00B04E65"/>
    <w:rsid w:val="00B0585D"/>
    <w:rsid w:val="00B1050C"/>
    <w:rsid w:val="00B1582F"/>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355B"/>
    <w:rsid w:val="00E45FBB"/>
    <w:rsid w:val="00E4609B"/>
    <w:rsid w:val="00E542FC"/>
    <w:rsid w:val="00E61502"/>
    <w:rsid w:val="00E61DA6"/>
    <w:rsid w:val="00E64730"/>
    <w:rsid w:val="00E64E93"/>
    <w:rsid w:val="00E665EC"/>
    <w:rsid w:val="00E75090"/>
    <w:rsid w:val="00E75660"/>
    <w:rsid w:val="00E8299E"/>
    <w:rsid w:val="00E86710"/>
    <w:rsid w:val="00E90FF4"/>
    <w:rsid w:val="00E930C7"/>
    <w:rsid w:val="00EA1CFA"/>
    <w:rsid w:val="00EA33A0"/>
    <w:rsid w:val="00EB00B5"/>
    <w:rsid w:val="00EB0C06"/>
    <w:rsid w:val="00EB4B11"/>
    <w:rsid w:val="00EC2CF3"/>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7.wmf"/><Relationship Id="rId21" Type="http://schemas.openxmlformats.org/officeDocument/2006/relationships/oleObject" Target="embeddings/oleObject5.bin"/><Relationship Id="rId22" Type="http://schemas.openxmlformats.org/officeDocument/2006/relationships/image" Target="media/image8.wmf"/><Relationship Id="rId23" Type="http://schemas.openxmlformats.org/officeDocument/2006/relationships/oleObject" Target="embeddings/oleObject6.bin"/><Relationship Id="rId24" Type="http://schemas.openxmlformats.org/officeDocument/2006/relationships/image" Target="media/image9.png"/><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wmf"/><Relationship Id="rId17" Type="http://schemas.openxmlformats.org/officeDocument/2006/relationships/oleObject" Target="embeddings/oleObject3.bin"/><Relationship Id="rId18" Type="http://schemas.openxmlformats.org/officeDocument/2006/relationships/image" Target="media/image6.wmf"/><Relationship Id="rId19" Type="http://schemas.openxmlformats.org/officeDocument/2006/relationships/oleObject" Target="embeddings/oleObject4.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0C0988-177B-DC4F-96DB-CFA1F9A1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3830</Words>
  <Characters>21837</Characters>
  <Application>Microsoft Macintosh Word</Application>
  <DocSecurity>0</DocSecurity>
  <Lines>181</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Joseph Picone</cp:lastModifiedBy>
  <cp:revision>6</cp:revision>
  <cp:lastPrinted>2013-03-17T17:03:00Z</cp:lastPrinted>
  <dcterms:created xsi:type="dcterms:W3CDTF">2013-03-22T19:51:00Z</dcterms:created>
  <dcterms:modified xsi:type="dcterms:W3CDTF">2013-03-23T02:29:00Z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